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Song 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OPERA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4214 NYDALEN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OSLO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Opera Ltd</w:t>
              </w:r>
            </w:hyperlink>
            <w:r>
              <w:rPr/>
              <w:t xml:space="preserve"> [ </w:t>
            </w:r>
            <w:r>
              <w:rPr>
                <w:rFonts w:ascii="Times;serif" w:hAnsi="Times;serif"/>
                <w:color w:val="0000FF"/>
                <w:sz w:val="24"/>
                <w:shd w:fill="FFFFFF" w:val="clear"/>
              </w:rPr>
              <w:t>OPRA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6"/>
        <w:gridCol w:w="901"/>
        <w:gridCol w:w="772"/>
        <w:gridCol w:w="598"/>
        <w:gridCol w:w="344"/>
        <w:gridCol w:w="920"/>
        <w:gridCol w:w="444"/>
        <w:gridCol w:w="792"/>
        <w:gridCol w:w="1145"/>
        <w:gridCol w:w="984"/>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165,246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44,400</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18.52</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120,846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one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for each transaction reflects the weighted average sale price. The shares sold on June 17, 2026 were sold in multiple transactions at prices ranging from $18.70 to $19.15 per share, inclusive. The shares sold on June 18, 2026 were sold in multiple transactions at prices ranging from $18.14 to $18.82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McParlan, attorney-in-fact for Lin Song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521" TargetMode="External"/><Relationship Id="rId5" Type="http://schemas.openxmlformats.org/officeDocument/2006/relationships/hyperlink" Target="http://www.sec.gov/cgi-bin/browse-edgar?action=getcompany&amp;CIK=0001737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4016</Characters>
  <CharactersWithSpaces>4693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