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Naess Lori Wheeler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OPERA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4214 NYDALEN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OSLO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NORWAY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Opera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4,079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4,909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one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acquired upon the vesting of RSUs previously subject to a discretionary cancellation option.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Issuer is a foreign private issuer as defined under Rule 3b-4 under the Securities Exchange Act of 1934, as amended (the "Exchange Act"). In accordance with Rule 3a12-3(b) under the Exchange Act, the Reporting Person is exempt from the short-swing profit recovery provisions of Section 16(b) of the Exchange Act.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McParlan, attorney-in-fact for Lori Wheeler Naess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482" TargetMode="External"/><Relationship Id="rId5" Type="http://schemas.openxmlformats.org/officeDocument/2006/relationships/hyperlink" Target="http://www.sec.gov/cgi-bin/browse-edgar?action=getcompany&amp;CIK=0001737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3538</Characters>
  <CharactersWithSpaces>4117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