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Zhou Yahui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OPERA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4214 NYDALEN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OSLO</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NORWAY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Opera Ltd</w:t>
              </w:r>
            </w:hyperlink>
            <w:r>
              <w:rPr/>
              <w:t xml:space="preserve"> [ </w:t>
            </w:r>
            <w:r>
              <w:rPr>
                <w:rFonts w:ascii="Times;serif" w:hAnsi="Times;serif"/>
                <w:color w:val="0000FF"/>
                <w:sz w:val="24"/>
                <w:shd w:fill="FFFFFF" w:val="clear"/>
              </w:rPr>
              <w:t>OPRA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2"/>
        <w:gridCol w:w="897"/>
        <w:gridCol w:w="771"/>
        <w:gridCol w:w="596"/>
        <w:gridCol w:w="331"/>
        <w:gridCol w:w="1126"/>
        <w:gridCol w:w="407"/>
        <w:gridCol w:w="728"/>
        <w:gridCol w:w="1313"/>
        <w:gridCol w:w="938"/>
        <w:gridCol w:w="106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$0.0002 per share</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1,134,770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18.82</w:t>
            </w:r>
          </w:p>
        </w:tc>
        <w:tc>
          <w:tcPr>
            <w:tcW w:w="13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52,546,694</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0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(3)</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6,734,110</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sale of Ordinary Shares by Hong Kong Kunlun Tech Holding Limited to the Issuer pursuant to a Stock Purchase Agreement dated March 24, 2026. This transaction constitutes a tranche of shares to be sold to the Issuer in connection with the Issuer's $300 million share repurchase program announced on February 26, 2026. Under the terms of the agreement, Hong Kong Kunlun Tech Holding Limited will continue to sell Ordinary Shares to the Issuer on a pro rata basis corresponding to the Issuer's open-market repurchases of American Depositary Shares ("ADSs") to maintain Hong Kong Kunlun Tech Holding Limited's ownership percentage.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directly by Hong Kong Kunlun Tech Holding Limited, a subsidiary of Kunlun Tech Co., Ltd. ("Kunlun"). Mr. Zhou holds 11.3% of Kunlun directly and 14.8% indirectly through Beijing Yingrui Century Software R&amp;D Center L.P. ("Beijing Yingrui"). As the general partner of Beijing Yingrui with a 54.8% interest, Mr. Zhou has sole voting and dispositive power over the Kunlun shares held by Beijing Yingrui. By virtue of these relationships, Mr. Zhou is the controlling shareholder of Kunlun and may be deemed to beneficially own the securities held by Hong Kong Kunlun Tech Holding Limited. Mr. Zhou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American Depositary Share ("ADS") represents one Ordinary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Issuer is a foreign private issuer as defined under Rule 3b-4 under the Securities Exchange Act of 1934, as amended (the "Exchange Act"). In accordance with Rule 3a12-3(b) under the Exchange Act, the Reporting Person is exempt from the short-swing profit recovery provisions of Section 16(b) of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McParlan, attorney-in-fact for Yahui Zhou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8074" TargetMode="External"/><Relationship Id="rId5" Type="http://schemas.openxmlformats.org/officeDocument/2006/relationships/hyperlink" Target="http://www.sec.gov/cgi-bin/browse-edgar?action=getcompany&amp;CIK=0001737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863</Words>
  <Characters>4691</Characters>
  <CharactersWithSpaces>5477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