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Riiber Knudsen Trond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OPERA LTD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4214 NYDALEN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OSLO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NORWAY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Opera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OPRA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1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4,079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5,329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one Ordinary Share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ADSs acquired upon the vesting of RSUs previously subject to a discretionary cancellation option.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Issuer is a foreign private issuer as defined under Rule 3b-4 under the Securities Exchange Act of 1934, as amended (the "Exchange Act"). In accordance with Rule 3a12-3(b) under the Exchange Act, the Reporting Person is exempt from the short-swing profit recovery provisions of Section 16(b) of the Exchange Act.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McParlan, attorney-in-fact for Trond Riiber Knudsen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8702" TargetMode="External"/><Relationship Id="rId5" Type="http://schemas.openxmlformats.org/officeDocument/2006/relationships/hyperlink" Target="http://www.sec.gov/cgi-bin/browse-edgar?action=getcompany&amp;CIK=0001737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649</Words>
  <Characters>3542</Characters>
  <CharactersWithSpaces>4121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