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73025</wp:posOffset>
            </wp:positionV>
            <wp:extent cx="1800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78105</wp:posOffset>
            </wp:positionV>
            <wp:extent cx="1800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5" w:lineRule="exact"/>
        <w:rPr>
          <w:sz w:val="24"/>
          <w:szCs w:val="24"/>
          <w:color w:val="auto"/>
        </w:rPr>
      </w:pPr>
    </w:p>
    <w:p>
      <w:pPr>
        <w:ind w:left="480" w:hanging="468"/>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391" w:lineRule="exact"/>
        <w:rPr>
          <w:sz w:val="24"/>
          <w:szCs w:val="24"/>
          <w:color w:val="auto"/>
        </w:rPr>
      </w:pPr>
    </w:p>
    <w:p>
      <w:pPr>
        <w:ind w:left="4080" w:right="2840" w:hanging="4068"/>
        <w:spacing w:after="0" w:line="347" w:lineRule="auto"/>
        <w:tabs>
          <w:tab w:leader="none" w:pos="47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100" w:lineRule="exact"/>
        <w:rPr>
          <w:sz w:val="24"/>
          <w:szCs w:val="24"/>
          <w:color w:val="auto"/>
        </w:rPr>
      </w:pPr>
    </w:p>
    <w:p>
      <w:pPr>
        <w:ind w:left="5500" w:right="2520" w:hanging="5488"/>
        <w:spacing w:after="0" w:line="345" w:lineRule="auto"/>
        <w:tabs>
          <w:tab w:leader="none" w:pos="46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OR</w:t>
      </w:r>
    </w:p>
    <w:p>
      <w:pPr>
        <w:spacing w:after="0" w:line="43" w:lineRule="exact"/>
        <w:rPr>
          <w:rFonts w:ascii="MS PGothic" w:cs="MS PGothic" w:eastAsia="MS PGothic" w:hAnsi="MS PGothic"/>
          <w:sz w:val="18"/>
          <w:szCs w:val="18"/>
          <w:color w:val="auto"/>
        </w:rPr>
      </w:pPr>
    </w:p>
    <w:p>
      <w:pPr>
        <w:ind w:left="4380" w:right="2120" w:hanging="4368"/>
        <w:spacing w:after="0" w:line="417" w:lineRule="auto"/>
        <w:tabs>
          <w:tab w:leader="none" w:pos="475"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 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-24130</wp:posOffset>
            </wp:positionV>
            <wp:extent cx="1800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26670</wp:posOffset>
            </wp:positionV>
            <wp:extent cx="874395"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7439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Opera Limited</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47625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Vitaminveien 4, 0485 Oslo, Norway</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Lin Song, Chief Executive Officer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 Aaron McParlan, General Counsel</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Vitaminveien 4, 0485 Oslo, Norway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+47 2369-2400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legal@opera.com</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Telephone and E-mail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56515</wp:posOffset>
            </wp:positionV>
            <wp:extent cx="180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Title of each class</w:t>
            </w:r>
          </w:p>
        </w:tc>
        <w:tc>
          <w:tcPr>
            <w:tcW w:w="1560" w:type="dxa"/>
            <w:vAlign w:val="bottom"/>
          </w:tcPr>
          <w:p>
            <w:pPr>
              <w:jc w:val="center"/>
              <w:ind w:right="151"/>
              <w:spacing w:after="0"/>
              <w:rPr>
                <w:sz w:val="20"/>
                <w:szCs w:val="20"/>
                <w:color w:val="auto"/>
              </w:rPr>
            </w:pPr>
            <w:r>
              <w:rPr>
                <w:rFonts w:ascii="Times New Roman" w:cs="Times New Roman" w:eastAsia="Times New Roman" w:hAnsi="Times New Roman"/>
                <w:sz w:val="14"/>
                <w:szCs w:val="14"/>
                <w:color w:val="auto"/>
              </w:rPr>
              <w:t>Trading Symbol</w:t>
            </w:r>
          </w:p>
        </w:tc>
        <w:tc>
          <w:tcPr>
            <w:tcW w:w="12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46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4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4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American Depositary Shares, each representing one ordinary share, par</w:t>
            </w:r>
          </w:p>
        </w:tc>
        <w:tc>
          <w:tcPr>
            <w:tcW w:w="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tcPr>
          <w:p>
            <w:pPr>
              <w:jc w:val="center"/>
              <w:ind w:right="151"/>
              <w:spacing w:after="0" w:line="118" w:lineRule="exact"/>
              <w:rPr>
                <w:sz w:val="20"/>
                <w:szCs w:val="20"/>
                <w:color w:val="auto"/>
              </w:rPr>
            </w:pPr>
            <w:r>
              <w:rPr>
                <w:rFonts w:ascii="Times New Roman" w:cs="Times New Roman" w:eastAsia="Times New Roman" w:hAnsi="Times New Roman"/>
                <w:sz w:val="13"/>
                <w:szCs w:val="13"/>
                <w:b w:val="1"/>
                <w:bCs w:val="1"/>
                <w:color w:val="auto"/>
              </w:rPr>
              <w:t>OPRA</w:t>
            </w:r>
          </w:p>
        </w:tc>
        <w:tc>
          <w:tcPr>
            <w:tcW w:w="120" w:type="dxa"/>
            <w:vAlign w:val="bottom"/>
            <w:vMerge w:val="continue"/>
          </w:tcPr>
          <w:p>
            <w:pPr>
              <w:spacing w:after="0"/>
              <w:rPr>
                <w:sz w:val="10"/>
                <w:szCs w:val="10"/>
                <w:color w:val="auto"/>
              </w:rPr>
            </w:pPr>
          </w:p>
        </w:tc>
        <w:tc>
          <w:tcPr>
            <w:tcW w:w="4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90"/>
        </w:trPr>
        <w:tc>
          <w:tcPr>
            <w:tcW w:w="4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 $0.0002 per share</w:t>
            </w: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 None</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 None</w:t>
      </w:r>
    </w:p>
    <w:p>
      <w:pPr>
        <w:spacing w:after="0" w:line="136"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 89,648,056 ordinary shares, par value $0.0002 per share, as of December 31, 2025.</w:t>
      </w:r>
    </w:p>
    <w:p>
      <w:pPr>
        <w:spacing w:after="0" w:line="7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right="20"/>
        <w:spacing w:after="0" w:line="208" w:lineRule="exact"/>
        <w:rPr>
          <w:sz w:val="20"/>
          <w:szCs w:val="20"/>
          <w:color w:val="auto"/>
        </w:rPr>
      </w:pPr>
      <w:r>
        <w:rPr>
          <w:rFonts w:ascii="Times New Roman" w:cs="Times New Roman" w:eastAsia="Times New Roman" w:hAnsi="Times New Roman"/>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0" w:lineRule="exact"/>
        <w:rPr>
          <w:sz w:val="24"/>
          <w:szCs w:val="24"/>
          <w:color w:val="auto"/>
        </w:rPr>
      </w:pPr>
    </w:p>
    <w:p>
      <w:pPr>
        <w:ind w:left="680"/>
        <w:spacing w:after="0" w:line="161" w:lineRule="exact"/>
        <w:tabs>
          <w:tab w:leader="none" w:pos="3640" w:val="left"/>
          <w:tab w:leader="none" w:pos="6320" w:val="left"/>
          <w:tab w:leader="none" w:pos="89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13"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0"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4"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3"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to§240.10D-1(b). </w:t>
      </w:r>
      <w:r>
        <w:rPr>
          <w:rFonts w:ascii="MS PGothic" w:cs="MS PGothic" w:eastAsia="MS PGothic" w:hAnsi="MS PGothic"/>
          <w:sz w:val="14"/>
          <w:szCs w:val="14"/>
          <w:color w:val="auto"/>
        </w:rPr>
        <w:t>☐</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729" w:right="339" w:bottom="903" w:gutter="0" w:footer="0" w:header="0"/>
        </w:sectPr>
      </w:pPr>
    </w:p>
    <w:p>
      <w:pPr>
        <w:spacing w:after="0" w:line="51" w:lineRule="exact"/>
        <w:rPr>
          <w:sz w:val="24"/>
          <w:szCs w:val="24"/>
          <w:color w:val="auto"/>
        </w:rPr>
      </w:pPr>
    </w:p>
    <w:p>
      <w:pPr>
        <w:ind w:left="600"/>
        <w:spacing w:after="0" w:line="150" w:lineRule="exact"/>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International Financial Reporting Standards as issued by the International Accounting Standards Board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3">
            <w:col w:w="1860" w:space="720"/>
            <w:col w:w="6680" w:space="720"/>
            <w:col w:w="1260"/>
          </w:cols>
          <w:pgMar w:left="320" w:top="729" w:right="339" w:bottom="903" w:gutter="0" w:footer="0" w:header="0"/>
          <w:type w:val="continuous"/>
        </w:sectPr>
      </w:pP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20" w:lineRule="exact"/>
        <w:rPr>
          <w:sz w:val="24"/>
          <w:szCs w:val="24"/>
          <w:color w:val="auto"/>
        </w:rPr>
      </w:pPr>
      <w:r>
        <w:rPr>
          <w:sz w:val="24"/>
          <w:szCs w:val="24"/>
          <w:color w:val="auto"/>
        </w:rPr>
        <w:br w:type="column"/>
      </w:r>
    </w:p>
    <w:p>
      <w:pPr>
        <w:jc w:val="center"/>
        <w:spacing w:after="0" w:line="130" w:lineRule="exact"/>
        <w:rPr>
          <w:sz w:val="20"/>
          <w:szCs w:val="20"/>
          <w:color w:val="auto"/>
        </w:rPr>
      </w:pPr>
      <w:r>
        <w:rPr>
          <w:rFonts w:ascii="Times New Roman" w:cs="Times New Roman" w:eastAsia="Times New Roman" w:hAnsi="Times New Roman"/>
          <w:sz w:val="13"/>
          <w:szCs w:val="13"/>
          <w:color w:val="auto"/>
        </w:rPr>
        <w:t xml:space="preserve">Item 17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Item 18 </w:t>
      </w:r>
      <w:r>
        <w:rPr>
          <w:rFonts w:ascii="MS PGothic" w:cs="MS PGothic" w:eastAsia="MS PGothic" w:hAnsi="MS PGothic"/>
          <w:sz w:val="14"/>
          <w:szCs w:val="14"/>
          <w:color w:val="auto"/>
        </w:rPr>
        <w:t>☐</w:t>
      </w:r>
    </w:p>
    <w:p>
      <w:pPr>
        <w:spacing w:after="0" w:line="95" w:lineRule="exact"/>
        <w:rPr>
          <w:sz w:val="24"/>
          <w:szCs w:val="24"/>
          <w:color w:val="auto"/>
        </w:rPr>
      </w:pPr>
    </w:p>
    <w:p>
      <w:pPr>
        <w:sectPr>
          <w:pgSz w:w="11900" w:h="16838" w:orient="portrait"/>
          <w:cols w:equalWidth="0" w:num="3">
            <w:col w:w="9020" w:space="100"/>
            <w:col w:w="600" w:space="120"/>
            <w:col w:w="1400"/>
          </w:cols>
          <w:pgMar w:left="320" w:top="729" w:right="339" w:bottom="903" w:gutter="0" w:footer="0" w:header="0"/>
          <w:type w:val="continuous"/>
        </w:sectPr>
      </w:pP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2">
            <w:col w:w="8040" w:space="120"/>
            <w:col w:w="3080"/>
          </w:cols>
          <w:pgMar w:left="320" w:top="729" w:right="339" w:bottom="90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160" w:type="dxa"/>
            <w:vAlign w:val="bottom"/>
            <w:gridSpan w:val="1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60" w:type="dxa"/>
            <w:vAlign w:val="bottom"/>
            <w:gridSpan w:val="36"/>
            <w:vMerge w:val="restart"/>
          </w:tcPr>
          <w:p>
            <w:pPr>
              <w:spacing w:after="0"/>
              <w:rPr>
                <w:sz w:val="20"/>
                <w:szCs w:val="20"/>
                <w:color w:val="auto"/>
              </w:rPr>
            </w:pPr>
            <w:r>
              <w:rPr>
                <w:rFonts w:ascii="Times New Roman" w:cs="Times New Roman" w:eastAsia="Times New Roman" w:hAnsi="Times New Roman"/>
                <w:sz w:val="18"/>
                <w:szCs w:val="18"/>
                <w:color w:val="0000FF"/>
              </w:rPr>
              <w:t>CONVENTIONS THAT APPLY TO THIS ANNUAL REPORT ON FORM 20-F</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60" w:type="dxa"/>
            <w:vAlign w:val="bottom"/>
            <w:gridSpan w:val="36"/>
            <w:vMerge w:val="continue"/>
          </w:tcPr>
          <w:p>
            <w:pPr>
              <w:spacing w:after="0"/>
              <w:rPr>
                <w:sz w:val="14"/>
                <w:szCs w:val="14"/>
                <w:color w:val="auto"/>
              </w:rPr>
            </w:pP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0000FF"/>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FORWARD-LOOKING STATEMENTS</w:t>
            </w:r>
          </w:p>
        </w:tc>
        <w:tc>
          <w:tcPr>
            <w:tcW w:w="474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700" w:type="dxa"/>
            <w:vAlign w:val="bottom"/>
            <w:tcBorders>
              <w:top w:val="single" w:sz="8" w:color="0000FF"/>
            </w:tcBorders>
            <w:gridSpan w:val="6"/>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2.</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Offer Statistics and Expected Timetable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3.</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Key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4.</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Information on the Company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6"/>
              </w:rPr>
              <w:t>Item 4A.</w:t>
            </w:r>
          </w:p>
        </w:tc>
        <w:tc>
          <w:tcPr>
            <w:tcW w:w="700" w:type="dxa"/>
            <w:vAlign w:val="bottom"/>
            <w:gridSpan w:val="6"/>
          </w:tcPr>
          <w:p>
            <w:pPr>
              <w:spacing w:after="0"/>
              <w:rPr>
                <w:sz w:val="17"/>
                <w:szCs w:val="17"/>
                <w:color w:val="auto"/>
              </w:rPr>
            </w:pPr>
          </w:p>
        </w:tc>
        <w:tc>
          <w:tcPr>
            <w:tcW w:w="21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22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5.</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6.</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7.</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8.</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Financial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9.</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The Offer and Listing</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10.</w:t>
            </w:r>
          </w:p>
        </w:tc>
        <w:tc>
          <w:tcPr>
            <w:tcW w:w="720" w:type="dxa"/>
            <w:vAlign w:val="bottom"/>
            <w:gridSpan w:val="7"/>
          </w:tcPr>
          <w:p>
            <w:pPr>
              <w:spacing w:after="0"/>
              <w:rPr>
                <w:sz w:val="17"/>
                <w:szCs w:val="17"/>
                <w:color w:val="auto"/>
              </w:rPr>
            </w:pPr>
          </w:p>
        </w:tc>
        <w:tc>
          <w:tcPr>
            <w:tcW w:w="16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Additional Information</w:t>
            </w:r>
          </w:p>
        </w:tc>
        <w:tc>
          <w:tcPr>
            <w:tcW w:w="7640" w:type="dxa"/>
            <w:vAlign w:val="bottom"/>
            <w:gridSpan w:val="1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11.</w:t>
            </w:r>
          </w:p>
        </w:tc>
        <w:tc>
          <w:tcPr>
            <w:tcW w:w="720" w:type="dxa"/>
            <w:vAlign w:val="bottom"/>
            <w:gridSpan w:val="7"/>
          </w:tcPr>
          <w:p>
            <w:pPr>
              <w:spacing w:after="0"/>
              <w:rPr>
                <w:sz w:val="17"/>
                <w:szCs w:val="17"/>
                <w:color w:val="auto"/>
              </w:rPr>
            </w:pPr>
          </w:p>
        </w:tc>
        <w:tc>
          <w:tcPr>
            <w:tcW w:w="436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6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12.</w:t>
            </w:r>
          </w:p>
        </w:tc>
        <w:tc>
          <w:tcPr>
            <w:tcW w:w="720" w:type="dxa"/>
            <w:vAlign w:val="bottom"/>
            <w:gridSpan w:val="7"/>
          </w:tcPr>
          <w:p>
            <w:pPr>
              <w:spacing w:after="0"/>
              <w:rPr>
                <w:sz w:val="17"/>
                <w:szCs w:val="17"/>
                <w:color w:val="auto"/>
              </w:rPr>
            </w:pPr>
          </w:p>
        </w:tc>
        <w:tc>
          <w:tcPr>
            <w:tcW w:w="40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532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64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13.</w:t>
            </w:r>
          </w:p>
        </w:tc>
        <w:tc>
          <w:tcPr>
            <w:tcW w:w="720" w:type="dxa"/>
            <w:vAlign w:val="bottom"/>
            <w:gridSpan w:val="7"/>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14.</w:t>
            </w:r>
          </w:p>
        </w:tc>
        <w:tc>
          <w:tcPr>
            <w:tcW w:w="720" w:type="dxa"/>
            <w:vAlign w:val="bottom"/>
            <w:gridSpan w:val="7"/>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15.</w:t>
            </w:r>
          </w:p>
        </w:tc>
        <w:tc>
          <w:tcPr>
            <w:tcW w:w="720" w:type="dxa"/>
            <w:vAlign w:val="bottom"/>
            <w:gridSpan w:val="7"/>
          </w:tcPr>
          <w:p>
            <w:pPr>
              <w:spacing w:after="0"/>
              <w:rPr>
                <w:sz w:val="17"/>
                <w:szCs w:val="17"/>
                <w:color w:val="auto"/>
              </w:rPr>
            </w:pPr>
          </w:p>
        </w:tc>
        <w:tc>
          <w:tcPr>
            <w:tcW w:w="178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3820" w:type="dxa"/>
            <w:vAlign w:val="bottom"/>
            <w:tcBorders>
              <w:top w:val="single" w:sz="8" w:color="0000FF"/>
            </w:tcBorders>
            <w:gridSpan w:val="15"/>
          </w:tcPr>
          <w:p>
            <w:pPr>
              <w:spacing w:after="0"/>
              <w:rPr>
                <w:sz w:val="17"/>
                <w:szCs w:val="17"/>
                <w:color w:val="auto"/>
              </w:rPr>
            </w:pPr>
          </w:p>
        </w:tc>
        <w:tc>
          <w:tcPr>
            <w:tcW w:w="37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16A.</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Audit Committee Financial Expert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1"/>
              </w:rPr>
              <w:t>Item 16B.</w:t>
            </w:r>
          </w:p>
        </w:tc>
        <w:tc>
          <w:tcPr>
            <w:tcW w:w="640" w:type="dxa"/>
            <w:vAlign w:val="bottom"/>
            <w:gridSpan w:val="3"/>
          </w:tcPr>
          <w:p>
            <w:pPr>
              <w:spacing w:after="0"/>
              <w:rPr>
                <w:sz w:val="17"/>
                <w:szCs w:val="17"/>
                <w:color w:val="auto"/>
              </w:rPr>
            </w:pPr>
          </w:p>
        </w:tc>
        <w:tc>
          <w:tcPr>
            <w:tcW w:w="25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Code of Ethics</w:t>
            </w:r>
          </w:p>
        </w:tc>
        <w:tc>
          <w:tcPr>
            <w:tcW w:w="682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16C.</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16D.</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Exemptions from the Listing Standards for Audit Committees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gridSpan w:val="6"/>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2"/>
              </w:rPr>
              <w:t>Item 16E.</w:t>
            </w:r>
          </w:p>
        </w:tc>
        <w:tc>
          <w:tcPr>
            <w:tcW w:w="640" w:type="dxa"/>
            <w:vAlign w:val="bottom"/>
            <w:gridSpan w:val="3"/>
          </w:tcPr>
          <w:p>
            <w:pPr>
              <w:spacing w:after="0"/>
              <w:rPr>
                <w:sz w:val="17"/>
                <w:szCs w:val="17"/>
                <w:color w:val="auto"/>
              </w:rPr>
            </w:pPr>
          </w:p>
        </w:tc>
        <w:tc>
          <w:tcPr>
            <w:tcW w:w="50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Purchases of Equity Securities by the Issuer and Affiliated Purchasers</w:t>
            </w:r>
          </w:p>
        </w:tc>
        <w:tc>
          <w:tcPr>
            <w:tcW w:w="428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4"/>
              </w:rPr>
              <w:t>Item 16F.</w:t>
            </w:r>
          </w:p>
        </w:tc>
        <w:tc>
          <w:tcPr>
            <w:tcW w:w="640" w:type="dxa"/>
            <w:vAlign w:val="bottom"/>
            <w:gridSpan w:val="3"/>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16G.</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Corporate Governance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16H.</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16I.</w:t>
            </w:r>
          </w:p>
        </w:tc>
        <w:tc>
          <w:tcPr>
            <w:tcW w:w="20" w:type="dxa"/>
            <w:vAlign w:val="bottom"/>
            <w:tcBorders>
              <w:bottom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spacing w:after="0"/>
              <w:rPr>
                <w:sz w:val="17"/>
                <w:szCs w:val="17"/>
                <w:color w:val="auto"/>
              </w:rPr>
            </w:pPr>
          </w:p>
        </w:tc>
        <w:tc>
          <w:tcPr>
            <w:tcW w:w="496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436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16J.</w:t>
            </w:r>
          </w:p>
        </w:tc>
        <w:tc>
          <w:tcPr>
            <w:tcW w:w="20" w:type="dxa"/>
            <w:vAlign w:val="bottom"/>
            <w:tcBorders>
              <w:bottom w:val="single" w:sz="8" w:color="0000EE"/>
            </w:tcBorders>
          </w:tcPr>
          <w:p>
            <w:pPr>
              <w:spacing w:after="0"/>
              <w:rPr>
                <w:sz w:val="17"/>
                <w:szCs w:val="17"/>
                <w:color w:val="auto"/>
              </w:rPr>
            </w:pPr>
          </w:p>
        </w:tc>
        <w:tc>
          <w:tcPr>
            <w:tcW w:w="640" w:type="dxa"/>
            <w:vAlign w:val="bottom"/>
            <w:gridSpan w:val="3"/>
          </w:tcPr>
          <w:p>
            <w:pPr>
              <w:spacing w:after="0"/>
              <w:rPr>
                <w:sz w:val="17"/>
                <w:szCs w:val="17"/>
                <w:color w:val="auto"/>
              </w:rPr>
            </w:pPr>
          </w:p>
        </w:tc>
        <w:tc>
          <w:tcPr>
            <w:tcW w:w="17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Insider Trading Policies</w:t>
            </w:r>
          </w:p>
        </w:tc>
        <w:tc>
          <w:tcPr>
            <w:tcW w:w="758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Item 16K.</w:t>
            </w: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88"/>
              </w:rPr>
              <w:t>PART III</w:t>
            </w:r>
          </w:p>
        </w:tc>
        <w:tc>
          <w:tcPr>
            <w:tcW w:w="64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17.</w:t>
            </w:r>
          </w:p>
        </w:tc>
        <w:tc>
          <w:tcPr>
            <w:tcW w:w="720" w:type="dxa"/>
            <w:vAlign w:val="bottom"/>
            <w:gridSpan w:val="7"/>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6160" w:type="dxa"/>
            <w:vAlign w:val="bottom"/>
            <w:gridSpan w:val="1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18.</w:t>
            </w:r>
          </w:p>
        </w:tc>
        <w:tc>
          <w:tcPr>
            <w:tcW w:w="720" w:type="dxa"/>
            <w:vAlign w:val="bottom"/>
            <w:gridSpan w:val="7"/>
          </w:tcPr>
          <w:p>
            <w:pPr>
              <w:spacing w:after="0"/>
              <w:rPr>
                <w:sz w:val="17"/>
                <w:szCs w:val="17"/>
                <w:color w:val="auto"/>
              </w:rPr>
            </w:pPr>
          </w:p>
        </w:tc>
        <w:tc>
          <w:tcPr>
            <w:tcW w:w="932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Item 19.</w:t>
            </w:r>
          </w:p>
        </w:tc>
        <w:tc>
          <w:tcPr>
            <w:tcW w:w="720" w:type="dxa"/>
            <w:vAlign w:val="bottom"/>
            <w:gridSpan w:val="7"/>
          </w:tcPr>
          <w:p>
            <w:pPr>
              <w:spacing w:after="0"/>
              <w:rPr>
                <w:sz w:val="17"/>
                <w:szCs w:val="17"/>
                <w:color w:val="auto"/>
              </w:rPr>
            </w:pPr>
          </w:p>
        </w:tc>
        <w:tc>
          <w:tcPr>
            <w:tcW w:w="150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20" w:type="dxa"/>
            <w:vAlign w:val="bottom"/>
            <w:gridSpan w:val="2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SIGNATURES</w:t>
            </w:r>
          </w:p>
        </w:tc>
        <w:tc>
          <w:tcPr>
            <w:tcW w:w="20" w:type="dxa"/>
            <w:vAlign w:val="bottom"/>
            <w:tcBorders>
              <w:bottom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066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959"/>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6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 ON FORM 20-F</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w:t>
      </w:r>
    </w:p>
    <w:p>
      <w:pPr>
        <w:spacing w:after="0" w:line="185" w:lineRule="exact"/>
        <w:rPr>
          <w:sz w:val="20"/>
          <w:szCs w:val="20"/>
          <w:color w:val="auto"/>
        </w:rPr>
      </w:pPr>
    </w:p>
    <w:p>
      <w:pPr>
        <w:ind w:left="760" w:right="1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user” refers to a user, calculated based on device identification, that has accessed one of our mobile browsers, PC browsers or other applications at least once during a given period. A unique user that is active in more than one of the applications on our platform is counted as more than one active user;</w:t>
      </w:r>
    </w:p>
    <w:p>
      <w:pPr>
        <w:spacing w:after="0" w:line="13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refers to an American depositary share in Opera Limited, trading on the Nasdaq Global Select Market under the ticker symbol “OPRA”, each of which representing one ordinary share in Opera Limited;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refers to artificial intelligence and “AIGC” refers to artificial intelligence generated content;</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“ARPU,” which stands for “average revenue per user,” is calculated as our total advertising and query revenue in a given period, divided by our average MAUs in the period;</w:t>
      </w:r>
    </w:p>
    <w:p>
      <w:pPr>
        <w:spacing w:after="0" w:line="121" w:lineRule="exact"/>
        <w:rPr>
          <w:rFonts w:ascii="Times New Roman" w:cs="Times New Roman" w:eastAsia="Times New Roman" w:hAnsi="Times New Roman"/>
          <w:sz w:val="18"/>
          <w:szCs w:val="18"/>
          <w:color w:val="auto"/>
        </w:rPr>
      </w:pPr>
    </w:p>
    <w:p>
      <w:pPr>
        <w:ind w:left="760" w:right="5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excluding, for the purpose of this annual report only, Taiwan and the special administrative regions of Hong Kong and Macau;</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“EEA” refers to the European Economic Area consisting of the 27 countries of the European Union plus Norway, Liechtenstein and Iceland;</w:t>
      </w:r>
    </w:p>
    <w:p>
      <w:pPr>
        <w:spacing w:after="0" w:line="184"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Accounting Standards” or “Accounting Standards” refer to IFRS® Accounting Standards as issued by the International Accounting Standards Board (IASB);</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“Kunlun” refers to Kunlun Tech Co., Ltd. and Hong Kong Kunlun Tech Holding Ltd., unless otherwise indicated;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“LLMs” refers to large language models;</w:t>
      </w:r>
    </w:p>
    <w:p>
      <w:pPr>
        <w:spacing w:after="0" w:line="184"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or “monthly active users” refers to the average number of active users of any month (within a given period), calculated as of its final day using a 30-day lookback window;</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refers to the Nasdaq Stock Market LLC;</w:t>
      </w:r>
    </w:p>
    <w:p>
      <w:pPr>
        <w:spacing w:after="0" w:line="198"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 “the company,” “our group,” “we,” “us,” “our,” and similar terms refer to Opera Limited, a Cayman Islands company, and its subsidiaries, unless the context indicates otherwise.</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 means computers running versions of the Windows, Linux or macOS operating systems;</w:t>
      </w:r>
    </w:p>
    <w:p>
      <w:pPr>
        <w:spacing w:after="0" w:line="184"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refers to active users of our applications, other users of our content, as well as individuals served by our Opera Ads audience extension software;</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“ordinary shares” refers to our ordinary shares, par value $0.0002 per share;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 and refer to the legal currency of the United States; and</w:t>
      </w:r>
    </w:p>
    <w:p>
      <w:pPr>
        <w:spacing w:after="0" w:line="184"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“Western markets” refers to Northern America, Europe, Israel and Turkey, but excluding former Soviet Union countries Armenia, Azerbaijan, Belarus, Kazakhstan, Kyrgyzstan, Moldova, Russia, Tajikistan, Turkmenistan, Uzbekistan, and Ukraine.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Differences between totals and the sum of the individual amounts in the tables are due to rounding.</w:t>
      </w:r>
    </w:p>
    <w:p>
      <w:pPr>
        <w:spacing w:after="0" w:line="18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21E of the Securities Exchange Act of 1934, as amended, and the Private Securities Litigation Reform Act of 1995. All statements other than statements of historical fact are forward-looking statements and can be identified by words or phrases such as “may,” “will,” “expect,” “anticipate,” “aim,” “estimate,” “intend,” “plan,” “believe,” “continue,” “likely to,” or similar expressions. Forward-looking statements include, among other things, statements regarding expectations about the growth of our business and revenues; factors that may affect such growth; trends, fluctuations and expectations relating to our revenues, margins, results of operations, key business metrics, costs and expenses, capital expenditures, liquidity and sources of funding; plans and expectations regarding our products and services, technological</w:t>
      </w:r>
    </w:p>
    <w:p>
      <w:pPr>
        <w:sectPr>
          <w:pgSz w:w="11900" w:h="16838" w:orient="portrait"/>
          <w:cols w:equalWidth="0" w:num="1">
            <w:col w:w="11120"/>
          </w:cols>
          <w:pgMar w:left="320" w:top="432" w:right="459" w:bottom="1440" w:gutter="0" w:footer="0" w:header="0"/>
        </w:sectPr>
      </w:pP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2" w:right="4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development and strategic initiatives or transactions; the impact of global macroeconomic, competitive and regulatory conditions; and other statements regarding our future operations, financial condition, prospects, and actual or potential risks and liabilities. Forward-looking statements are based on our current expectations and assumptions regarding future events and trends that we believe may affect our financial condition, results of operations, business strategy and financial needs.</w:t>
      </w:r>
    </w:p>
    <w:p>
      <w:pPr>
        <w:spacing w:after="0" w:line="153"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and assumptions, including those described in “Item 3. Key Information—D. Risk Factors.” We operate in a rapidly evolving environment, and new risks emerge from time to time. It is not possible for our management to predict all risks, nor to assess the impact of all factors on our business or the extent to which any factor, or combination of factors, may cause actual results to differ materially from those contained in any forward-looking statements we make. In light of these risks, uncertainties and assumptions, the future events and trends discussed in this annual report may not occur and actual results could differ materially and adversely from those expressed or implied by forward-looking statements.</w:t>
      </w:r>
    </w:p>
    <w:p>
      <w:pPr>
        <w:spacing w:after="0" w:line="147"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Except as required by law, we undertake no obligation to update or revise any forward-looking statements, whether as a result of new information, future events or otherwise. Readers are cautioned not to place undue reliance on forward-looking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02" w:lineRule="exact"/>
        <w:rPr>
          <w:sz w:val="20"/>
          <w:szCs w:val="20"/>
          <w:color w:val="auto"/>
        </w:rPr>
      </w:pPr>
    </w:p>
    <w:p>
      <w:pPr>
        <w:jc w:val="center"/>
        <w:ind w:right="9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ind w:right="9300"/>
        <w:spacing w:after="0"/>
        <w:rPr>
          <w:sz w:val="20"/>
          <w:szCs w:val="20"/>
          <w:color w:val="auto"/>
        </w:rPr>
      </w:pPr>
      <w:r>
        <w:rPr>
          <w:rFonts w:ascii="Times New Roman" w:cs="Times New Roman" w:eastAsia="Times New Roman" w:hAnsi="Times New Roman"/>
          <w:sz w:val="17"/>
          <w:szCs w:val="17"/>
          <w:b w:val="1"/>
          <w:bCs w:val="1"/>
          <w:color w:val="auto"/>
        </w:rPr>
        <w:t>Item 3. Key Information</w:t>
      </w:r>
    </w:p>
    <w:p>
      <w:pPr>
        <w:spacing w:after="0" w:line="200"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[Reserved]</w:t>
      </w:r>
    </w:p>
    <w:p>
      <w:pPr>
        <w:spacing w:after="0" w:line="194" w:lineRule="exact"/>
        <w:rPr>
          <w:rFonts w:ascii="Times New Roman" w:cs="Times New Roman" w:eastAsia="Times New Roman" w:hAnsi="Times New Roman"/>
          <w:sz w:val="18"/>
          <w:szCs w:val="18"/>
          <w:b w:val="1"/>
          <w:bCs w:val="1"/>
          <w:color w:val="auto"/>
        </w:rPr>
      </w:pPr>
    </w:p>
    <w:p>
      <w:pPr>
        <w:ind w:left="380" w:right="8320" w:hanging="372"/>
        <w:spacing w:after="0" w:line="453" w:lineRule="auto"/>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7560" w:hanging="372"/>
        <w:spacing w:after="0" w:line="461" w:lineRule="auto"/>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ADSs involves risks. You should carefully consider the risks described below, together with all other information included in this annual report on Form 20-F. The risks described below are not the only risks we face, and additional risks and uncertainties that are not currently known to us or that we currently consider immaterial may also materially and adversely affect our business, financial condition, and results of operations. If any of these risks occur, the trading price of our ADSs could decline.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89"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The following summary highlights certain material risks that could adversely affect our business, financial condition, and results of operations and should be read together with the more detailed risk factors set forth below, which are organized under the same headings.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Strategy and Operating Environment</w:t>
      </w:r>
    </w:p>
    <w:p>
      <w:pPr>
        <w:spacing w:after="0" w:line="202" w:lineRule="exact"/>
        <w:rPr>
          <w:sz w:val="20"/>
          <w:szCs w:val="20"/>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composition, and engagement of our user base are critical to our ability to monetize our products and services and achieve our strategic objectives.</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across our products and services which could materially adversely affect our business.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technological change and platform evolution could adversely affect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expanding across diverse and international markets presents operational, regulatory, and financial risks.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new businesses, products, services, technologies and companies may not achieve expected results.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geopolitical conditions could adversely affect our business.</w:t>
      </w:r>
    </w:p>
    <w:p>
      <w:pPr>
        <w:sectPr>
          <w:pgSz w:w="11900" w:h="16838" w:orient="portrait"/>
          <w:cols w:equalWidth="0" w:num="1">
            <w:col w:w="11180"/>
          </w:cols>
          <w:pgMar w:left="320" w:top="256" w:right="399" w:bottom="1440" w:gutter="0" w:footer="0" w:header="0"/>
        </w:sectPr>
      </w:pP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sanctions and compliance requirements related to Russia could adversely affect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and reputation could be harmed by competitive pressures or third-party conduct.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litigation, including intellectual property claims and regulatory disputes.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Invalid or fraudulent advertising traffic could harm our advertising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Technology, Intellectual Property, Data Protection and Cybersecurity</w:t>
      </w:r>
    </w:p>
    <w:p>
      <w:pPr>
        <w:spacing w:after="0" w:line="189"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limitations in our technology infrastructure could adversely affect our business.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AI technologies in our products and services presents legal, regulatory and reputational risks.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intellectual property rights is subject to significant risk.</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open source software could adversely affect our business.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intellectual property claims could adversely affect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enforce patent and trademark protection could adversely affect our business.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collection and use of user data could adversely affect user trust and our business.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security incidents could adversely affect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depend on the reliability and availability of our technology systems.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Third-Party Platforms, Services, and Dependencies</w:t>
      </w:r>
    </w:p>
    <w:p>
      <w:pPr>
        <w:spacing w:after="0" w:line="18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loss of key third-party partnerships could adversely affect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content or services could harm our reputation or expose us to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Reporting and Information Disclosure</w:t>
      </w:r>
    </w:p>
    <w:p>
      <w:pPr>
        <w:spacing w:after="0" w:line="189"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 over financial reporting could adversely affect our business.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OPay investment is highly uncertain and may result in material volatility in our results of operations.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Inaccuracies or misinterpretation of our operating metrics could harm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Share Ownership Structure, and Regulatory Status</w:t>
      </w:r>
    </w:p>
    <w:p>
      <w:pPr>
        <w:spacing w:after="0" w:line="202"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ADSs may be volatile.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Returns on an investment in our ADSs depend on dividends and the market price of our ADSs.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 could adversely affect the corporate governance protections afforded to our ADS holders.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multiple regulatory regimes may increase costs and limit operational flexibility.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foreign private issuer results in different disclosure and governance requirements.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ADSs may have limited ability to exercise voting rights with respect to the underlying ordinary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Strategy and Operating Environment</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composition, and engagement of our user base are critical to our ability to monetize our products and services and achieve our strategic objectives.</w:t>
      </w:r>
    </w:p>
    <w:p>
      <w:pPr>
        <w:spacing w:after="0" w:line="118"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Our business and financial performance depend significantly on our ability to attract, retain, and engage users with demographics and usage patterns that support monetization. In recent periods, we have increasingly focused our user acquisition and product efforts</w:t>
      </w:r>
    </w:p>
    <w:p>
      <w:pPr>
        <w:sectPr>
          <w:pgSz w:w="11900" w:h="16838" w:orient="portrait"/>
          <w:cols w:equalWidth="0" w:num="1">
            <w:col w:w="11060"/>
          </w:cols>
          <w:pgMar w:left="320" w:top="256" w:right="519" w:bottom="1440" w:gutter="0" w:footer="0" w:header="0"/>
        </w:sectPr>
      </w:pPr>
    </w:p>
    <w:p>
      <w:pPr>
        <w:spacing w:after="0" w:line="1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56" w:right="5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users where monetization potential is generally higher, such as in Western markets, which has resulted in slower growth or declines in users in certain other markets. While we believe this strategy improves long-term monetization, it may reduce our overall user base or limit our reach in certain regions.</w:t>
      </w:r>
    </w:p>
    <w:p>
      <w:pPr>
        <w:spacing w:after="0" w:line="135"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Our results of operations may be adversely affected if we are unable to maintain or grow a user base with sufficient scale, geographic mix, and engagement levels. This could occur if we fail to:</w:t>
      </w:r>
    </w:p>
    <w:p>
      <w:pPr>
        <w:spacing w:after="0" w:line="121"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relevance, quality, and performance of our products and services;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adapt to changes in user preferences, technology, or market trends, including the adoption of AI-enabled solutions;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distribute our products across operating systems, devices, and platforms, including through third-party distribution partners;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 user trust with respect to privacy, security, and reliability; or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introduce or cross-sell new products and services to our existing users.</w:t>
      </w:r>
    </w:p>
    <w:p>
      <w:pPr>
        <w:spacing w:after="0" w:line="198"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In addition, focusing on higher-value users may expose us to greater competition in mature markets, higher user acquisition costs, or increased sensitivity to economic conditions affecting advertising demand. Efforts to attract, retain, or re-engage users may require significant ongoing investment in product development, infrastructure, and marketing, without assurance of corresponding returns.</w:t>
      </w:r>
    </w:p>
    <w:p>
      <w:pPr>
        <w:spacing w:after="0" w:line="135"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If we are unable to retain or grow a user base with the scale, composition, and engagement necessary to support our monetization strategies, our revenues, business, financial condition, and results of operations could be materially and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across our products and services which could materially adversely affect our business.</w:t>
      </w:r>
    </w:p>
    <w:p>
      <w:pPr>
        <w:spacing w:after="0" w:line="202"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operate in highly competitive and rapidly evolving markets, including web browsers, digital advertising, content distribution, and digital wallets. Competition in these markets is intense, dynamic, and influenced by rapid technological change, shifting user behavior, and evolving regulatory and platform environments.</w:t>
      </w:r>
    </w:p>
    <w:p>
      <w:pPr>
        <w:spacing w:after="0" w:line="135"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In the browser market, we compete with global browser developers such as Google (Chrome), Apple (Safari), Microsoft (Edge), and Samsung (Samsung Internet), many of which benefit from significant scale and distribution advantages derived from control over operating systems, devices, app stores, or default settings. These advantages may limit our ability to expand distribution, maintain user engagement, or monetize our user base. We also compete with independent and alternative browsers that differentiate on privacy, performance, AI functionality, or specialized use cases.</w:t>
      </w:r>
    </w:p>
    <w:p>
      <w:pPr>
        <w:spacing w:after="0" w:line="13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Competition in the browser market is increasingly shaped by artificial intelligence. Established competitors and new entrants, including companies primarily focused on AI platforms and search, are developing AI-enabled or AI-native browsers and browsing experiences that emphasize conversational interfaces, AI-generated responses, and task automation. These offerings and the continued evolution of AI platforms may affect traditional browsing and search behaviors, alter user expectations, and intensify competition for user attention, distribution partnerships, and monetization opportunities. Our ability to compete effectively depends on our ability to continuously evolve our browser offering, including the development, integration, and adoption of AI features, which may require significant investment and may not achieve expected user acceptance or economic returns.</w:t>
      </w:r>
    </w:p>
    <w:p>
      <w:pPr>
        <w:spacing w:after="0" w:line="160"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audience extension and digital advertising businesses face significant competition from large global advertising and ad tech platforms, including vertically integrated ecosystems operated by Alphabet, Meta, ByteDance, and other providers of demand-side platforms, supply-side platforms, and advertising networks. Many of these competitors have substantially greater scale, access to proprietary user data, advertiser relationships, and measurement and attribution capabilities than we do. Competition depends on factors such as audience reach and quality, targeting effectiveness, access to inventory and demand, pricing, measurement, brand safety, and compliance with evolving privacy and data protection requirements. Competitors that control system-default browsers, operating systems, app stores, or more extensive advertising infrastructure may be better positioned to adapt to regulatory changes or to limit data access or interoperability in ways that disadvantage us.</w:t>
      </w:r>
    </w:p>
    <w:p>
      <w:pPr>
        <w:spacing w:after="0" w:line="148"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also compete with other digital publishers, platforms, and application providers for brand and performance-based advertising budgets. Advertisers may shift spending among channels based on actual or perceived return on investment, audience characteristics, ad formats, pricing, and macroeconomic conditions. Increased competition may result in pricing pressure, reduced demand, lower fill rates, or the need to introduce new ad formats or placements that could negatively affect user experience or engagement.</w:t>
      </w:r>
    </w:p>
    <w:p>
      <w:pPr>
        <w:spacing w:after="0" w:line="139"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In addition, with MiniPay, we face competition in emerging and evolving markets for digital wallets, and payment-enabled applications. As a non-custodial crypto wallet, MiniPay competes with other custodial and non-custodial crypto wallet providers. In addition, MiniPay competes with more established global and regional payment platforms, financial institutions, mobile operating</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system providers, and fintech companies, many of which have greater brand recognition, user trust, regulatory experience, financial resources, and existing payment networks. Competitors may benefit from pre-installation, default status, established merchant acceptance, or integration with broader financial or social ecosystems. Competition in this area is influenced by regulatory requirements, user adoption, security and trust considerations, transaction costs, and the availability of alternative payment solutions. If MiniPay fails to achieve sufficient adoption, scale, or monetization, or if competitors introduce superior or more widely accepted offerings, its trajectory may be negatively affected.</w:t>
      </w:r>
    </w:p>
    <w:p>
      <w:pPr>
        <w:spacing w:after="0" w:line="156"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and human resources, proprietary data, and brand recognition than we do and may be better positioned to invest aggressively in new technologies, including AI, pursue acquisitions, or engage in pricing, bundling, or distribution strategies that we cannot match. Certain competitors may also leverage control over platforms, standards, or ecosystems to integrate competing features, modify rules or technical requirements, or otherwise disadvantage our products and services.</w:t>
      </w:r>
    </w:p>
    <w:p>
      <w:pPr>
        <w:spacing w:after="0" w:line="13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As we continue to evolve our products and introduce new features and services, including AI-enabled functionality and payment capabilities, we may experience increased competitive pressure, higher development and compliance costs, and greater execution risk. If we are unable to compete effectively, our user growth, engagement, monetization, and relationships with advertisers, partners, and users could be adversely affected, which could materially harm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concentration and exposure to key business partners could affect our results.</w:t>
      </w:r>
    </w:p>
    <w:p>
      <w:pPr>
        <w:spacing w:after="0" w:line="202"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A limited number of business partners account for a significant portion of our revenue, and Google, our largest partner, continues to represent a material share of our total revenues. Although we seek to diversify our partner base, a small number of partners may continue to account for a significant portion of our revenues for the foreseeable future. As a result, our business and results of operations could be adversely affected by changes in our commercial relationships with these partners, including reductions, delays, non-renewal or termination of services, deterioration in a partner’s business or financial condition, payment delays or defaults, or our inability to replace a significant partner on comparable terms.</w:t>
      </w:r>
    </w:p>
    <w:p>
      <w:pPr>
        <w:spacing w:after="0" w:line="143"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Our revenue is also geographically concentrated based on the domicile of certain major monetization partners, including partners located in Ireland, Singapore, and the United States. This geographic concentration does not necessarily reflect the location of our end users, but it exposes us to risks related to economic conditions, regulatory developments, tax regimes, and other country-specific factors applicable to those jurisdictions. Adverse developments affecting key partners or the jurisdictions in which they are domiciled could materially and adversely affect our business, financial condition, and results of operations.</w:t>
      </w:r>
    </w:p>
    <w:p>
      <w:pPr>
        <w:spacing w:after="0" w:line="143"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 is derived from arrangements that monetize user activity, including query revenue and advertising. For a discussion of risks related to changes in the search ecosystem, including regulatory developments affecting major search providers, see “—A substantial portion of our revenues is derived from users’ query activities within Opera browsers.” For additional information about our revenue composition and concentration, see Note 3 to our consolidated financial statements included elsewhere in this annual report.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revenues is derived from users’ query activities within Opera browsers.</w:t>
      </w:r>
    </w:p>
    <w:p>
      <w:pPr>
        <w:spacing w:after="0" w:line="18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 is derived from arrangements that monetize users’ query activities across our products and services, including revenue-sharing arrangements with our partners. A substantial portion of our query revenue is generated through our relationship with Google. As a result, changes in query monetization models, search distribution mechanics, or regulatory requirements applicable to major search providers could reduce the value of the query traffic we generate.</w:t>
      </w:r>
    </w:p>
    <w:p>
      <w:pPr>
        <w:spacing w:after="0" w:line="139" w:lineRule="exact"/>
        <w:rPr>
          <w:sz w:val="20"/>
          <w:szCs w:val="20"/>
          <w:color w:val="auto"/>
        </w:rPr>
      </w:pPr>
    </w:p>
    <w:p>
      <w:pPr>
        <w:jc w:val="both"/>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economics of query monetization depend on a range of factors outside our control, including partners’ pricing models, allocation of advertising demand, the terms of default placement and distribution arrangements, and broader changes in how traffic is monetized across digital platforms. Adverse changes in any of these factors could reduce query monetization rates or overall query revenue.</w:t>
      </w:r>
    </w:p>
    <w:p>
      <w:pPr>
        <w:spacing w:after="0" w:line="14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Legal and regulatory developments affecting search providers may further impact our query revenue. In August 2024, a U.S. district court ruled that Google violated U.S. antitrust laws relating to search and search advertising, and in December 2025, entered a final judgment imposing remedies that, among other things, restrict aspects of Google’s service distribution and require data-sharing and syndication measures. In January 2026, Google appealed the judgment and sought to pause implementation of certain remedies, and in February 2026, the U.S. Department of Justice (“DOJ”) and state attorneys general also appealed. While uncertainty remains, we anticipate that going forward Opera will continue to have search distribution agreements with Google for the U.S. market with commitment periods limited to one year.</w:t>
      </w:r>
    </w:p>
    <w:p>
      <w:pPr>
        <w:spacing w:after="0" w:line="147"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Google is also subject to separate U.S. antitrust litigation filed by the DOJ and state attorneys general relating to its advertising technology. In April 2025, the court in the DOJ’s advertising technology case issued a mixed decision, finding that certain publisher-side practices violated antitrust laws while rejecting other claims. The parties proceeded to the remedies phase in September 2025, during which the DOJ proposed behavioral and structural remedies, and a final judgment is pending. A related case brought by state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attorneys general is expected to proceed following resolution of remedies in the DOJ case. Likewise, the European Commission is conducting an investigation of Google’s search advertising auction practices.</w:t>
      </w:r>
    </w:p>
    <w:p>
      <w:pPr>
        <w:spacing w:after="0" w:line="135" w:lineRule="exact"/>
        <w:rPr>
          <w:sz w:val="20"/>
          <w:szCs w:val="20"/>
          <w:color w:val="auto"/>
        </w:rPr>
      </w:pPr>
    </w:p>
    <w:p>
      <w:pPr>
        <w:jc w:val="both"/>
        <w:ind w:right="380" w:firstLine="374"/>
        <w:spacing w:after="0" w:line="266" w:lineRule="auto"/>
        <w:rPr>
          <w:sz w:val="20"/>
          <w:szCs w:val="20"/>
          <w:color w:val="auto"/>
        </w:rPr>
      </w:pPr>
      <w:r>
        <w:rPr>
          <w:rFonts w:ascii="Times New Roman" w:cs="Times New Roman" w:eastAsia="Times New Roman" w:hAnsi="Times New Roman"/>
          <w:sz w:val="18"/>
          <w:szCs w:val="18"/>
          <w:color w:val="auto"/>
        </w:rPr>
        <w:t>Any remedies, settlements, or other outcomes arising from these proceedings, whether affecting Google or other query and advertising providers, could result in changes to distribution arrangements, default settings, monetization practices, or the broader ecosystem. Such changes could reduce the volume or monetization of searches and other queries generated through our browsers and adversely affect our revenue.</w:t>
      </w:r>
    </w:p>
    <w:p>
      <w:pPr>
        <w:spacing w:after="0" w:line="135"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For additional information regarding risks related to revenue concentration and dependence on key business partners, see “—Revenue concentration and exposure to key business partners could affect our results.” For a discussion of broader risks related to AI technologies and changes in user behavior, see “—AI technologies may change how people access the internet and consume content, which could adversely affect our browser and advertising businesses.” For information about our revenue composition, see Note 3 to our consolidated financial statements included elsewhere in this annual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AI technologies may change how people access the internet and consume content, which could adversely affect our browser and advertising businesses.</w:t>
      </w:r>
    </w:p>
    <w:p>
      <w:pPr>
        <w:spacing w:after="0" w:line="214"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primary products are web browsers, which have traditionally served as a gateway for users to access websites, content, and online services. Rapid advances in artificial intelligence, including large language models and agentic AI systems, are changing how users interact with the internet. Users may increasingly rely on AI-powered tools that generate synthesized responses or perform tasks on their behalf, reducing the need for conventional browsing, page navigation, and direct visits to websites.</w:t>
      </w:r>
    </w:p>
    <w:p>
      <w:pPr>
        <w:spacing w:after="0" w:line="139" w:lineRule="exact"/>
        <w:rPr>
          <w:sz w:val="20"/>
          <w:szCs w:val="20"/>
          <w:color w:val="auto"/>
        </w:rPr>
      </w:pPr>
    </w:p>
    <w:p>
      <w:pPr>
        <w:jc w:val="both"/>
        <w:ind w:right="220" w:firstLine="374"/>
        <w:spacing w:after="0" w:line="261" w:lineRule="auto"/>
        <w:rPr>
          <w:sz w:val="20"/>
          <w:szCs w:val="20"/>
          <w:color w:val="auto"/>
        </w:rPr>
      </w:pPr>
      <w:r>
        <w:rPr>
          <w:rFonts w:ascii="Times New Roman" w:cs="Times New Roman" w:eastAsia="Times New Roman" w:hAnsi="Times New Roman"/>
          <w:sz w:val="18"/>
          <w:szCs w:val="18"/>
          <w:color w:val="auto"/>
        </w:rPr>
        <w:t>We are responding to these developments by integrating AI-enabled features into our products, including agentic browsing capabilities. However, these initiatives involve significant execution, technological, and commercial risks. AI-driven interactions may reduce traditional browsing activity and user behaviors that support our existing advertising and monetization models, including within our own products. In addition, AI-based user experiences may not support advertising formats, targeting approaches, or pricing levels comparable to those historically associated with browser-based traffic.</w:t>
      </w:r>
    </w:p>
    <w:p>
      <w:pPr>
        <w:spacing w:after="0" w:line="13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Our Opera Ads platform depends on user reach, engagement, and the availability of advertiser-valued inventory across browsers and the broader digital ecosystem. If AI systems reduce traffic to publisher websites, shift consumption toward AI-generated outputs, or alter user engagement patterns, the volume, quality, and pricing of advertising inventory may decline. These effects could reduce advertiser demand and adversely affect our advertising revenues, both within our browsers and through third-party distribution.</w:t>
      </w:r>
    </w:p>
    <w:p>
      <w:pPr>
        <w:spacing w:after="0" w:line="153"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While we continue to evaluate new monetization approaches, partnerships, and revenue models in response to these changes, there can be no assurance that our AI-enabled products or strategic initiatives will achieve market adoption, generate sustainable revenues, or offset declines in traditional browsing or advertising activity. If we are unable to adapt our products and monetization strategies effectively, our user engagement, competitive position, and financial performance could be materially and adversely affected.</w:t>
      </w:r>
    </w:p>
    <w:p>
      <w:pPr>
        <w:spacing w:after="0" w:line="139"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Risks specific to search monetization models, search providers, and query revenue are discussed separately under “—A substantial portion of our revenues is derived from users’ query activities within Opera browsers.”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Rapid technological change and platform evolution could adversely affect our business.</w:t>
      </w:r>
    </w:p>
    <w:p>
      <w:pPr>
        <w:spacing w:after="0" w:line="202"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The markets in which we operate are characterized by rapid and continual technological change. Our future success depends on our ability to meet changing user expectations and anticipate, adapt to, and effectively implement new technologies and evolving industry standards, and to maintain the performance, reliability, and relevance of our products and services.</w:t>
      </w:r>
    </w:p>
    <w:p>
      <w:pPr>
        <w:spacing w:after="0" w:line="135"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Technological developments in devices, operating systems, networks, and platforms, particularly in mobile environments, may require us to modify or redevelop our products, services, or infrastructure, often at significant cost. If we are slow to introduce compatible or competitive offerings, or if our products and services fail to achieve user acceptance on new devices or platforms, we may lose users, market share, or monetization opportunities.</w:t>
      </w:r>
    </w:p>
    <w:p>
      <w:pPr>
        <w:spacing w:after="0" w:line="135" w:lineRule="exact"/>
        <w:rPr>
          <w:sz w:val="20"/>
          <w:szCs w:val="20"/>
          <w:color w:val="auto"/>
        </w:rPr>
      </w:pPr>
    </w:p>
    <w:p>
      <w:pPr>
        <w:jc w:val="both"/>
        <w:ind w:right="140" w:firstLine="374"/>
        <w:spacing w:after="0" w:line="266" w:lineRule="auto"/>
        <w:rPr>
          <w:sz w:val="20"/>
          <w:szCs w:val="20"/>
          <w:color w:val="auto"/>
        </w:rPr>
      </w:pPr>
      <w:r>
        <w:rPr>
          <w:rFonts w:ascii="Times New Roman" w:cs="Times New Roman" w:eastAsia="Times New Roman" w:hAnsi="Times New Roman"/>
          <w:sz w:val="18"/>
          <w:szCs w:val="18"/>
          <w:color w:val="auto"/>
        </w:rPr>
        <w:t>Adapting to new technologies may also require substantial investment in development, infrastructure, or third-party services, and these investments may not result in improved performance, adoption, or financial returns. If we fail to keep pace with technological change, our competitiveness and results of operations could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expanding across diverse and international markets presents operational, regulatory, and financial risks.</w:t>
      </w:r>
    </w:p>
    <w:p>
      <w:pPr>
        <w:spacing w:after="0" w:line="189" w:lineRule="exact"/>
        <w:rPr>
          <w:sz w:val="20"/>
          <w:szCs w:val="20"/>
          <w:color w:val="auto"/>
        </w:rPr>
      </w:pPr>
    </w:p>
    <w:p>
      <w:pPr>
        <w:jc w:val="both"/>
        <w:ind w:right="200" w:firstLine="374"/>
        <w:spacing w:after="0" w:line="261" w:lineRule="auto"/>
        <w:rPr>
          <w:sz w:val="20"/>
          <w:szCs w:val="20"/>
          <w:color w:val="auto"/>
        </w:rPr>
      </w:pPr>
      <w:r>
        <w:rPr>
          <w:rFonts w:ascii="Times New Roman" w:cs="Times New Roman" w:eastAsia="Times New Roman" w:hAnsi="Times New Roman"/>
          <w:sz w:val="18"/>
          <w:szCs w:val="18"/>
          <w:color w:val="auto"/>
        </w:rPr>
        <w:t>Our business has become increasingly complex as we operate across multiple markets with differing economic conditions, infrastructure, legal and regulatory frameworks, and cultural norms, and as we continue to expand into new markets where we may have limited operating experience. Managing and scaling our operations across existing and new markets requires significant management attention, robust systems and controls, and may also require investment in personnel, infrastructure, and compliance capabilities.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Continued growth requires us to effectively scale our technology infrastructure, corporate functions, and internal controls to support geographically dispersed operations. If our systems, processes, or personnel do not scale effectively, or if we are unable to integrate new operations or acquisitions efficiently, our operational performance, financial reporting, and ability to provide timely and accurate information could be adversely affected.</w:t>
      </w:r>
    </w:p>
    <w:p>
      <w:pPr>
        <w:spacing w:after="0" w:line="14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Operating in diverse and fragmented markets exposes us to a range of legal and regulatory risks. Entering or expanding certain offerings in new jurisdictions may require licenses, permits, or regulatory approvals, and we may not be able to obtain, maintain, or renew such authorizations on acceptable terms or at all. Local laws and regulations, particularly those relating to data protection, localization, content, taxation, employment, anti-corruption, sanctions, export controls, and currency controls, may differ significantly across jurisdictions and may change unexpectedly or be subject to discretionary enforcement.</w:t>
      </w:r>
    </w:p>
    <w:p>
      <w:pPr>
        <w:spacing w:after="0" w:line="143"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In many of the jurisdictions where we operate, legal and regulatory frameworks can be complex, ambiguous, and subject to broad or inconsistent interpretation. While this risk exists globally, it is particularly pronounced in emerging markets. In these regions especially, we have experienced, and may continue to face, unpredictable regulatory environments where government agencies may take aggressive enforcement postures. This can result in unanticipated and significant demands or retroactive assessments that differ materially from previously prevailing interpretations of applicable law. Defending against such regulatory actions, tax disputes, or legal challenges, regardless of their merit or ultimate outcome, can be highly disruptive. Such defense efforts may require substantial legal and administrative expenses and could divert management attention away from our core business operations. Furthermore, compliance with complex or shifting requirements may increase our broader operating costs, limit our operational flexibility, or require us to modify or cease certain activities in specific markets. In some jurisdictions, compliance with local laws or regulatory demands, including content restrictions or disclosure requirements, could also adversely affect our brand or reputation.</w:t>
      </w:r>
    </w:p>
    <w:p>
      <w:pPr>
        <w:spacing w:after="0" w:line="148"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international operations also expose us to operational and financial risks, including political, social, or economic instability; difficulties in hiring, retaining, and managing employees across multiple jurisdictions; reduced protection of intellectual property rights in certain markets; higher levels of credit risk and payment fraud; trade restrictions and tariffs; and challenges in repatriating or freely moving cash. As a greater portion of our revenues and expenses may be generated or denominated in currencies other than the U.S. dollar, our results of operations may become more sensitive to currency exchange rate fluctuations.</w:t>
      </w:r>
    </w:p>
    <w:p>
      <w:pPr>
        <w:spacing w:after="0" w:line="156" w:lineRule="exact"/>
        <w:rPr>
          <w:sz w:val="20"/>
          <w:szCs w:val="20"/>
          <w:color w:val="auto"/>
        </w:rPr>
      </w:pPr>
    </w:p>
    <w:p>
      <w:pPr>
        <w:ind w:right="280" w:firstLine="374"/>
        <w:spacing w:after="0" w:line="266" w:lineRule="auto"/>
        <w:rPr>
          <w:sz w:val="20"/>
          <w:szCs w:val="20"/>
          <w:color w:val="auto"/>
        </w:rPr>
      </w:pPr>
      <w:r>
        <w:rPr>
          <w:rFonts w:ascii="Times New Roman" w:cs="Times New Roman" w:eastAsia="Times New Roman" w:hAnsi="Times New Roman"/>
          <w:sz w:val="18"/>
          <w:szCs w:val="18"/>
          <w:color w:val="auto"/>
        </w:rPr>
        <w:t>Digital business models are subject to increasing scrutiny by tax, data protection, and other regulatory authorities globally, particularly where activities are conducted on a cross-border basis without a physical presence. Managing tax compliance across multiple jurisdictions is complex and may result in increased tax liabilities, disputes, or penalties.</w:t>
      </w:r>
    </w:p>
    <w:p>
      <w:pPr>
        <w:spacing w:after="0" w:line="135"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If we are unable to effectively manage the operational, regulatory, financial, and organizational complexity associated with operating in existing markets and expanding into new markets, our business, financial condition, and results of operations could be materially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new businesses, products, services, technologies and companies may not achieve expected results.</w:t>
      </w:r>
    </w:p>
    <w:p>
      <w:pPr>
        <w:spacing w:after="0" w:line="202" w:lineRule="exact"/>
        <w:rPr>
          <w:sz w:val="20"/>
          <w:szCs w:val="20"/>
          <w:color w:val="auto"/>
        </w:rPr>
      </w:pPr>
    </w:p>
    <w:p>
      <w:pPr>
        <w:jc w:val="both"/>
        <w:ind w:right="80" w:firstLine="374"/>
        <w:spacing w:after="0" w:line="261" w:lineRule="auto"/>
        <w:rPr>
          <w:sz w:val="20"/>
          <w:szCs w:val="20"/>
          <w:color w:val="auto"/>
        </w:rPr>
      </w:pPr>
      <w:r>
        <w:rPr>
          <w:rFonts w:ascii="Times New Roman" w:cs="Times New Roman" w:eastAsia="Times New Roman" w:hAnsi="Times New Roman"/>
          <w:sz w:val="18"/>
          <w:szCs w:val="18"/>
          <w:color w:val="auto"/>
        </w:rPr>
        <w:t>We have invested, and expect to continue to invest, in new businesses, products, services, technologies, and strategic initiatives, including areas such as gaming, artificial intelligence, digital payments, and related ecosystems. Many of these initiatives involve new or evolving markets, business models, or regulatory frameworks, and we have limited operating experience in certain aspects of their development, commercialization, and compliance. As a result, it may be difficult to evaluate their prospects, and they may not achieve expected levels of adoption, growth, or profitability.</w:t>
      </w:r>
    </w:p>
    <w:p>
      <w:pPr>
        <w:spacing w:after="0" w:line="13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The success of our new initiatives depends on a number of factors, including our ability to develop competitive offerings, obtain required regulatory approvals, licenses, or permits, manage operational and compliance requirements, and effectively promote new products and services to our existing users. Cross-promotion efforts may not be successful, and the costs of development, infrastructure, marketing, and compliance may exceed anticipated benefits. Failure to successfully manage or scale these initiatives could adversely affect our financial condition and results of operations.</w:t>
      </w:r>
    </w:p>
    <w:p>
      <w:pPr>
        <w:spacing w:after="0" w:line="13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We also hold minority investments in other entities and investment vehicles, including OPay, the MiniPay Fund managed by Verda Ventures and nHorizon Innovation. These investments do not provide us with control over operations or governance, and their performance is subject to business, financial, regulatory, and operational risks beyond our control. Such investments may not generate the strategic or financial benefits we expect. In addition, weaknesses in the operations, internal controls, or compliance practices of investees could expose us to reputational harm or financial loss. If our investments in new initiatives or minority interests do not perform as expected, our business, financial condition, and results of operations could be adversely affected. See “—Impairment charges or credit losses could adversely affect our results of operations,” “Item 5. Operating and Financial Review and Prospects—A. Operating Results—Major Factors Affecting Our Results of Operations—Investments and Acquisitions” and Note 11 to our consolidated financial statements included elsewhere in this annual report for additional information regarding our minority investments in other entities.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regulatory, and commercial uncertainties could adversely affect MiniPay and our Web3 Initiatives.</w:t>
      </w:r>
    </w:p>
    <w:p>
      <w:pPr>
        <w:spacing w:after="0" w:line="202"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offer MiniPay, a non-custodial stablecoin wallet, and we may pursue additional web3 or blockchain-related initiatives as part of our broader product strategy. The long-term adoption of crypto assets and blockchain-based products by consumers, merchants, and regulators remains uncertain. User demand for such products may be volatile, influenced by market sentiment, trust in crypto assets, and broader macroeconomic and industry conditions. If user adoption, transaction volumes, or ecosystem participation do not develop as expected, our ability to grow, sustain, or monetize MiniPay could be adversely affected.</w:t>
      </w:r>
    </w:p>
    <w:p>
      <w:pPr>
        <w:spacing w:after="0" w:line="143" w:lineRule="exact"/>
        <w:rPr>
          <w:sz w:val="20"/>
          <w:szCs w:val="20"/>
          <w:color w:val="auto"/>
        </w:rPr>
      </w:pPr>
    </w:p>
    <w:p>
      <w:pPr>
        <w:ind w:right="220" w:firstLine="374"/>
        <w:spacing w:after="0" w:line="258" w:lineRule="auto"/>
        <w:rPr>
          <w:sz w:val="20"/>
          <w:szCs w:val="20"/>
          <w:color w:val="auto"/>
        </w:rPr>
      </w:pPr>
      <w:r>
        <w:rPr>
          <w:rFonts w:ascii="Times New Roman" w:cs="Times New Roman" w:eastAsia="Times New Roman" w:hAnsi="Times New Roman"/>
          <w:sz w:val="18"/>
          <w:szCs w:val="18"/>
          <w:color w:val="auto"/>
        </w:rPr>
        <w:t>MiniPay operates in a rapidly evolving regulatory environment. Crypto assets, stablecoins, and non-custodial wallets are subject to heightened and increasing regulatory scrutiny across many jurisdictions, driven by concerns relating to consumer protection, fraud, illicit activity, financial stability, and other public policy objectives. The legal and regulatory treatment of these products varies significantly by jurisdiction and continues to evolve. New or amended laws, regulations, enforcement actions, or judicial decisions could impose additional compliance requirements, restrict or prohibit certain activities, or limit the markets in which we can offer MiniPay, increasing costs or reducing its addressable market.</w:t>
      </w:r>
    </w:p>
    <w:p>
      <w:pPr>
        <w:spacing w:after="0" w:line="143"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The commercial viability and scalability of MiniPay also depend on our ability to establish and maintain effective monetization and distribution arrangements. At present, MiniPay relies on a limited number of key partners, including our collaboration with the AP Grant Foundation Company, to support its commercial development. If these partners modify, terminate, or fail to perform under existing arrangements, or if alternative commercial arrangements are not available on acceptable terms, our ability to generate revenue from MiniPay, justify continued investment in the product, or achieve sustainable scale could be adversely affected.</w:t>
      </w:r>
    </w:p>
    <w:p>
      <w:pPr>
        <w:spacing w:after="0" w:line="156"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If market adoption, regulatory developments, or commercial conditions limit the sustainability, scalability, or geographic availability of MiniPay, we may be required to modify our strategy, reduce investment, or discontinue certain initiatives, which could materially and adversely affect our business, financial condition, and results of operations. Risks related to our reliance on underlying blockchain platforms and third-party technical or operational dependencies are described under “—MiniPay’s reliance on the Celo blockchain and other third-party platforms and infrastructure exposes us to operational risks outside our control.”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geopolitical conditions could adversely affect our business.</w:t>
      </w:r>
    </w:p>
    <w:p>
      <w:pPr>
        <w:spacing w:after="0" w:line="189"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Our financial performance is affected by global macroeconomic and geopolitical conditions, including inflation, changes in interest rates and credit availability, trade restrictions and tariffs, geopolitical conflicts, supply chain disruptions, and currency fluctuations. Specifically, the outbreak of military conflict in Iran and the broader Middle East in early 2026 has triggered severe volatility in global energy markets, exacerbating inflationary pressures and elevating the risk of a broader economic slowdown. Adverse economic conditions driven by these or other factors may reduce advertiser spending, which could materially and adversely affect our revenue, financial condition, and results of operations. Certain jurisdiction-specific risks, including those related to Russia and associated sanctions and restrictions, are discussed in more detail under “—Restrictions, sanctions and compliance requirements related to Russia could adversely affect our business.”</w:t>
      </w:r>
    </w:p>
    <w:p>
      <w:pPr>
        <w:spacing w:after="0" w:line="162" w:lineRule="exact"/>
        <w:rPr>
          <w:sz w:val="20"/>
          <w:szCs w:val="20"/>
          <w:color w:val="auto"/>
        </w:rPr>
      </w:pPr>
    </w:p>
    <w:p>
      <w:pPr>
        <w:ind w:right="180" w:firstLine="374"/>
        <w:spacing w:after="0" w:line="256" w:lineRule="auto"/>
        <w:rPr>
          <w:sz w:val="20"/>
          <w:szCs w:val="20"/>
          <w:color w:val="auto"/>
        </w:rPr>
      </w:pPr>
      <w:r>
        <w:rPr>
          <w:rFonts w:ascii="Times New Roman" w:cs="Times New Roman" w:eastAsia="Times New Roman" w:hAnsi="Times New Roman"/>
          <w:sz w:val="18"/>
          <w:szCs w:val="18"/>
          <w:color w:val="auto"/>
        </w:rPr>
        <w:t>We operate in multiple jurisdictions and are exposed to foreign exchange rate fluctuations. Most of our revenue is denominated in U.S. dollars and euros, while a significant portion of our operating expenses are incurred in these and other currencies, including the Norwegian krone, Chinese renminbi, Polish zloty, Swedish krona, British pound and Singapore dollar. In addition, although payments from global partners are typically made in major international currencies, the underlying transactions on which our revenue is based may be denominated in local currencies prior to conversion, creating indirect or less visible currency exposure. This currency volatility may be severely exacerbated by ongoing geopolitical shocks, particularly in emerging markets highly sensitive to global energy prices.</w:t>
      </w:r>
    </w:p>
    <w:p>
      <w:pPr>
        <w:spacing w:after="0" w:line="147"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Macroeconomic uncertainty may increase our operating and financing costs through higher inflation, labor costs, energy and data center hosting costs, and interest rates, and may limit access to credit. If we are unable to offset these cost increases through pricing, efficiency improvements, or other measures, our margins and results of operations could be adversely affected. Currency volatility, which may be exacerbated by inflation or, in certain jurisdictions, hyperinflation, could further increase expenses or reduce revenue. In markets experiencing hyperinflation, we may be required to restate the financial statements for the changes in the general purchasing power of the local currency, which could materially affect our reported financial results and financial position. See Note 2 to our consolidated financial statements included elsewhere in this annual report for additional information.</w:t>
      </w:r>
    </w:p>
    <w:p>
      <w:pPr>
        <w:spacing w:after="0" w:line="147" w:lineRule="exact"/>
        <w:rPr>
          <w:sz w:val="20"/>
          <w:szCs w:val="20"/>
          <w:color w:val="auto"/>
        </w:rPr>
      </w:pPr>
    </w:p>
    <w:p>
      <w:pPr>
        <w:ind w:right="540" w:firstLine="374"/>
        <w:spacing w:after="0" w:line="282" w:lineRule="auto"/>
        <w:rPr>
          <w:sz w:val="20"/>
          <w:szCs w:val="20"/>
          <w:color w:val="auto"/>
        </w:rPr>
      </w:pPr>
      <w:r>
        <w:rPr>
          <w:rFonts w:ascii="Times New Roman" w:cs="Times New Roman" w:eastAsia="Times New Roman" w:hAnsi="Times New Roman"/>
          <w:sz w:val="18"/>
          <w:szCs w:val="18"/>
          <w:color w:val="auto"/>
        </w:rPr>
        <w:t>If macroeconomic or geopolitical conditions deteriorate or remain volatile, or if foreign exchange fluctuations intensify, our business, financial condition, and results of operations could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sanctions and compliance requirements related to Russia could adversely affect our business.</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Russia’s military invasion of Ukraine in February 2022 has resulted in extensive sanctions, export controls and other restrictive measures imposed by the European Union, the United States, the United Kingdom, Norway and other jurisdictions. These measures, as well as any future expansion or tightening of sanctions, have materially affected, and may continue to affect, our operations, revenue and financial performance.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As a result of EU sanctions prohibiting the provision of advertising services to entities established in Russia, we have terminated advertising contracts with Russian customers and taken other compliance-related actions. Sanctions and related restrictions have reduced our ability to monetize users and customers in Russia and may continue to limit our operations in affected jurisdictions. They have also increased compliance costs and may contribute to broader macroeconomic effects, including volatility in foreign exchange rates, advertising demand and global economic conditions, which could adversely affect our revenue and costs as reported in U.S. dollars. See “Item 4. Information on the Company—B. Business Overview—Regulations—European Economic Sanctions” for additional details.</w:t>
      </w:r>
    </w:p>
    <w:p>
      <w:pPr>
        <w:spacing w:after="0" w:line="160"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Although we no longer have any customers domiciled in Russia, certain of our transactions relate to monetization of users in Russia, including with respect to search distribution. Although these arrangements are not currently subject to sanctions or export controls, there can be no assurance that existing restrictions will not be expanded or that additional sanctions will not be imposed in the future. Any such measures could further restrict our ability to conduct business or generate revenue from users in Russia and could have a material adverse effect on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brand and reputation could be harmed by competitive pressures or third-party conduct.</w:t>
      </w:r>
    </w:p>
    <w:p>
      <w:pPr>
        <w:spacing w:after="0" w:line="189" w:lineRule="exact"/>
        <w:rPr>
          <w:sz w:val="20"/>
          <w:szCs w:val="20"/>
          <w:color w:val="auto"/>
        </w:rPr>
      </w:pPr>
    </w:p>
    <w:p>
      <w:pPr>
        <w:jc w:val="both"/>
        <w:ind w:right="440" w:firstLine="374"/>
        <w:spacing w:after="0" w:line="266" w:lineRule="auto"/>
        <w:rPr>
          <w:sz w:val="20"/>
          <w:szCs w:val="20"/>
          <w:color w:val="auto"/>
        </w:rPr>
      </w:pPr>
      <w:r>
        <w:rPr>
          <w:rFonts w:ascii="Times New Roman" w:cs="Times New Roman" w:eastAsia="Times New Roman" w:hAnsi="Times New Roman"/>
          <w:sz w:val="18"/>
          <w:szCs w:val="18"/>
          <w:color w:val="auto"/>
        </w:rPr>
        <w:t>Our brand and reputation are important to attracting and retaining users, partners, and advertisers and to the competitiveness of our products and services, including with respect to product quality, trust, and innovation. While we invest in marketing and brand-building activities, there can be no assurance that these efforts will be effective or cost-efficient.</w:t>
      </w:r>
    </w:p>
    <w:p>
      <w:pPr>
        <w:spacing w:after="0" w:line="149" w:lineRule="exact"/>
        <w:rPr>
          <w:sz w:val="20"/>
          <w:szCs w:val="20"/>
          <w:color w:val="auto"/>
        </w:rPr>
      </w:pPr>
    </w:p>
    <w:p>
      <w:pPr>
        <w:ind w:right="320" w:firstLine="374"/>
        <w:spacing w:after="0" w:line="258" w:lineRule="auto"/>
        <w:rPr>
          <w:sz w:val="20"/>
          <w:szCs w:val="20"/>
          <w:color w:val="auto"/>
        </w:rPr>
      </w:pPr>
      <w:r>
        <w:rPr>
          <w:rFonts w:ascii="Times New Roman" w:cs="Times New Roman" w:eastAsia="Times New Roman" w:hAnsi="Times New Roman"/>
          <w:sz w:val="18"/>
          <w:szCs w:val="18"/>
          <w:color w:val="auto"/>
        </w:rPr>
        <w:t>Our brand and reputation may also be harmed by adverse actions by third parties, including the dissemination of false, misleading, or malicious information about our business or management through social media, online forums, or other public channels. Such information may spread rapidly, anonymously, and without verification, and could damage user trust or relationships with partners and advertisers before we are able to respond. Third-party conduct may also include complaints or allegations submitted to regulatory or other authorities, which, even if unfounded, could result in investigations or inquiries requiring significant management time and expense and may not be resolved quickly or conclusively.</w:t>
      </w:r>
    </w:p>
    <w:p>
      <w:pPr>
        <w:spacing w:after="0" w:line="14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If our products or services fail to meet user expectations, if our brand initiatives do not achieve their intended impact or require disproportionate spending, or if we are unable to effectively mitigate the impact of false or malicious statements or third-party complaints, our brand and reputation could be harmed. Any such harm could adversely affect user acquisition, engagement, monetization, regulatory scrutiny, or the trading price of our ADSs, and could materially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litigation, including intellectual property claims and regulatory disputes.</w:t>
      </w:r>
    </w:p>
    <w:p>
      <w:pPr>
        <w:spacing w:after="0" w:line="202" w:lineRule="exact"/>
        <w:rPr>
          <w:sz w:val="20"/>
          <w:szCs w:val="20"/>
          <w:color w:val="auto"/>
        </w:rPr>
      </w:pPr>
    </w:p>
    <w:p>
      <w:pPr>
        <w:ind w:right="340" w:firstLine="374"/>
        <w:spacing w:after="0" w:line="261" w:lineRule="auto"/>
        <w:rPr>
          <w:sz w:val="20"/>
          <w:szCs w:val="20"/>
          <w:color w:val="auto"/>
        </w:rPr>
      </w:pPr>
      <w:r>
        <w:rPr>
          <w:rFonts w:ascii="Times New Roman" w:cs="Times New Roman" w:eastAsia="Times New Roman" w:hAnsi="Times New Roman"/>
          <w:sz w:val="18"/>
          <w:szCs w:val="18"/>
          <w:color w:val="auto"/>
        </w:rPr>
        <w:t>From time to time, we may be a party to claims, lawsuits (including purported class actions), regulatory or governmental investigations, and other proceedings. These matters may relate to, among other things, intellectual property, privacy and data protection, consumer protection, advertising and marketing practices, competition, labor and employment, securities, tax, import and export practices, commercial disputes and other matters. As our products and services evolve, operate at greater scale, and expand across jurisdictions, the frequency and complexity of these matters may increase.</w:t>
      </w:r>
    </w:p>
    <w:p>
      <w:pPr>
        <w:spacing w:after="0" w:line="13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Legal and regulatory proceedings, regardless of their merits or outcome, can result in substantial costs and liabilities, require significant management time and resources, and divert attention from operating our business. We may choose to settle claims to avoid the expense and uncertainty of litigation, and settlements may include monetary payments or non-monetary obligations that are unfavorable to us. If we are found to have violated laws or infringed third-party rights, we could be required to pay damages, penalties, or other amounts; obtain licenses on terms that may be costly or unavailable; modify or discontinue products, features, or business practices; implement additional compliance measures; or be subject to injunctive relief or other remedies that could restrict our operations. Any of the foregoing could adversely affect our business, financial condition, results of operations, and reputation.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Invalid or fraudulent advertising traffic could harm our advertising business.</w:t>
      </w:r>
    </w:p>
    <w:p>
      <w:pPr>
        <w:spacing w:after="0" w:line="202"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business is exposed to online advertising fraud, including invalid or non-human traffic generated by bad actors that does not reflect genuine user interest or intent. We seek to detect and prevent such activity and expect our advertising and monetization partners to do the same; however, neither we nor our partners can reliably detect or prevent all forms of advertising fraud.</w:t>
      </w:r>
    </w:p>
    <w:p>
      <w:pPr>
        <w:spacing w:after="0" w:line="135"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If significant advertising fraud occurs in connection with campaigns on our platforms or third-party inventory, advertisers may experience reduced returns, lose confidence in the integrity of our systems, or reduce or discontinue spending with us. We may also face contractual disputes or penalties. Any of these outcomes could reduce demand for our advertising offerings and adversely affect our revenue, business, and results of operations.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attract and retain key personnel.</w:t>
      </w:r>
    </w:p>
    <w:p>
      <w:pPr>
        <w:spacing w:after="0" w:line="202"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Our future success depends in part on the continued service of our executives and other key employees. The loss of any key personnel, or difficulties in replacing them on a timely basis, could disrupt our operations, delay execution of our strategy, and increase recruitment and training costs.</w:t>
      </w:r>
    </w:p>
    <w:p>
      <w:pPr>
        <w:spacing w:after="0" w:line="121"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To operate and grow our business, we must attract, develop, and retain highly skilled employees in a competitive global labor market. Recruiting, integrating, and retaining qualified personnel requires significant time, management attention, and expense, and competition for talent may require us to offer higher compensation, including equity-based incentives, without assurance of commensurate returns. Changes in our management team or difficulties in effective collaboration among personnel may also adversely affect execution.</w:t>
      </w:r>
    </w:p>
    <w:p>
      <w:pPr>
        <w:spacing w:after="0" w:line="13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Our ability to hire and retain talent may be further constrained by local labor laws, immigration restrictions, or other regulatory requirements in certain jurisdictions. If we are unable to effectively manage succession, attract and retain qualified personnel, or maintain an effective management team, our business, growth prospects, and results of operations could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but may not be able to obtain it on favorable terms or at all.</w:t>
      </w:r>
    </w:p>
    <w:p>
      <w:pPr>
        <w:spacing w:after="0" w:line="189"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While we believe our existing cash resources are sufficient to fund our current operations and near-term growth initiatives, we may require additional capital to support future growth, product development, or potential investments or acquisitions. If our cash resources are insufficient, we may seek to raise capital through equity or debt financings or by entering into credit arrangements.</w:t>
      </w:r>
    </w:p>
    <w:p>
      <w:pPr>
        <w:spacing w:after="0" w:line="135"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Our ability to obtain external financing on acceptable terms, or at all, may depend on a variety of factors, including market conditions, interest rates, inflation, geopolitical developments, the availability and liquidity of capital and credit markets, governmental regulations, and our financial condition, results of operations, cash flows, and share price performance. There can be no assurance that financing will be available when needed or on terms favorable to us.</w:t>
      </w:r>
    </w:p>
    <w:p>
      <w:pPr>
        <w:spacing w:after="0" w:line="153"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Any future indebtedness could result in debt service obligations and might impose operating or financial covenants that may restrict our business or operational flexibility. In addition, the issuance of equity or equity-linked securities could result in dilution to existing shareholders. If we are unable to raise additional capital when required, our liquidity, growth plans, and business could be materially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disasters, public health emergencies, or other disruptive events could adversely affect our business.</w:t>
      </w:r>
    </w:p>
    <w:p>
      <w:pPr>
        <w:spacing w:after="0" w:line="189"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Our business and operations could be adversely affected by natural disasters, public health emergencies, terrorist attacks, armed conflict, acts of violence, or other events causing social or economic instability. Such events could disrupt our operations, require the temporary or permanent closure of facilities, impair the availability of personnel or infrastructure, or adversely affect our users, partners, and advertisers.</w:t>
      </w:r>
    </w:p>
    <w:p>
      <w:pPr>
        <w:spacing w:after="0" w:line="149" w:lineRule="exact"/>
        <w:rPr>
          <w:sz w:val="20"/>
          <w:szCs w:val="20"/>
          <w:color w:val="auto"/>
        </w:rPr>
      </w:pPr>
    </w:p>
    <w:p>
      <w:pPr>
        <w:jc w:val="both"/>
        <w:ind w:right="40" w:firstLine="374"/>
        <w:spacing w:after="0" w:line="266" w:lineRule="auto"/>
        <w:rPr>
          <w:sz w:val="20"/>
          <w:szCs w:val="20"/>
          <w:color w:val="auto"/>
        </w:rPr>
      </w:pPr>
      <w:r>
        <w:rPr>
          <w:rFonts w:ascii="Times New Roman" w:cs="Times New Roman" w:eastAsia="Times New Roman" w:hAnsi="Times New Roman"/>
          <w:sz w:val="18"/>
          <w:szCs w:val="18"/>
          <w:color w:val="auto"/>
        </w:rPr>
        <w:t>Disruptive events may also lead to broader economic uncertainty, changes in user behavior, reduced advertising demand, or operational challenges for our monetization partners, which could negatively affect our operating and financial results. These impacts may be difficult to predict, vary in severity and duration, and could cause our results to fluctuate significantly.</w:t>
      </w:r>
    </w:p>
    <w:p>
      <w:pPr>
        <w:spacing w:after="0" w:line="135"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If such events are prolonged or recur, they could materially adversely affect our business, financial condition, results of operations, and the trading price of our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insufficient to cover losses.</w:t>
      </w:r>
    </w:p>
    <w:p>
      <w:pPr>
        <w:spacing w:after="0" w:line="202"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Our insurance coverage may be insufficient to cover all losses or liabilities arising from damage to our platforms, technology infrastructure, or interruptions to our business operations. Certain risks may be excluded from coverage or subject to coverage limits or deductibles.</w:t>
      </w:r>
    </w:p>
    <w:p>
      <w:pPr>
        <w:spacing w:after="0" w:line="121"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Any uninsured or underinsured loss could require us to incur substantial costs, divert management and financial resources, or otherwise adversely affect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and results of operations are subject to seasonal and other fluctuations.</w:t>
      </w:r>
    </w:p>
    <w:p>
      <w:pPr>
        <w:spacing w:after="0" w:line="202"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Our business is subject to seasonality and other fluctuations that can affect our revenue and results of operations. Revenue from e-commerce, travel, and search partners typically varies based on seasonal consumer behavior, including holiday-driven spending and travel patterns. In addition, we have limited operating history in certain newer business areas, which may make it difficult to predict seasonal or other revenue patterns.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Seasonal trends may also become less predictable due to macroeconomic and geopolitical factors, including inflation, changes in interest rates, supply chain disruptions, trade restrictions, and geopolitical conflicts. As a result, our revenue and results of operations may fluctuate from period to period and may be difficult to forecast.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interpretations, or challenges to our tax structure could adversely affect our results.</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application of tax laws across multiple jurisdictions is complex, evolving and subject to interpretation, and depends in part on our ability to operate consistently with our structure and intercompany arrangements. Tax authorities may challenge our transfer pricing methodologies or other aspects of our intercompany and related-party transactions, or determine that our operations do not achieve the intended tax treatment. Such challenges could result in additional tax liabilities, penalties, interest, or an increase in our effective tax rate, which could adversely affect our financial condition and results of operations.</w:t>
      </w:r>
    </w:p>
    <w:p>
      <w:pPr>
        <w:spacing w:after="0" w:line="143"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Tax laws, regulations and enforcement practices in the jurisdictions in which we operate are subject to change and increasing scrutiny. Governments worldwide continue to implement and consider significant tax reforms, including measures related to the taxation of multinational enterprises, digital services, minimum taxes, and cross-border profit allocation, such as those arising from the OECD’s Base Erosion and Profit Shifting (“BEPS”) initiatives and the global minimum tax framework. These or similar developments could increase our tax obligations, require changes to our corporate structure or operating model, limit the effectiveness of our tax planning strategies, or result in double taxation. In addition, changes in the interpretation or application of existing tax rules, including through audits, administrative guidance, or judicial decisions, could adversely affect our tax position.</w:t>
      </w:r>
    </w:p>
    <w:p>
      <w:pPr>
        <w:spacing w:after="0" w:line="160"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The determination of our income tax provisions requires significant judgment, and the ultimate tax treatment of many transactions is uncertain. Our effective tax rate may also be affected by factors beyond our control, including changes in the geographic mix of earnings, the utilization of tax assets, foreign currency movements, and changes in tax laws, regulations, or interpretations in the jurisdictions in which we operate. Any of these factors could materially adversely affect our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holdings of crypto assets, including stablecoins, could adversely affect our financial results.</w:t>
      </w:r>
    </w:p>
    <w:p>
      <w:pPr>
        <w:spacing w:after="0" w:line="18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hold crypto assets, including stablecoins, as part of our operations and strategic initiatives. As of December 31, 2025, we held crypto assets classified as intangible assets with a carrying amount of $0.2 million and stablecoins accounted for as financial assets measured at fair value through profit or loss with a carrying amount of $0.9 million. A substantial portion of our crypto asset holdings is derived from a strategic partnership with the AP Grant Foundation Company. See “Item 5. Operating and Financial Review and Prospects—B. Liquidity and Capital Resources—Liquidity and Material Cash Requirements—Contractual Obligations.” Although we have guidelines intended to limit our exposure, including caps on holdings and conversion policies, our exposure to crypto assets may increase as we pursue additional blockchain-related opportunities.</w:t>
      </w:r>
    </w:p>
    <w:p>
      <w:pPr>
        <w:spacing w:after="0" w:line="160"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value of crypto assets is highly volatile, and our ability to convert crypto assets into fiat currencies or stablecoins may be limited by market liquidity, trading disruptions, or exchange restrictions. As a result, fluctuations in market value or liquidity constraints could adversely affect our financial results.</w:t>
      </w:r>
    </w:p>
    <w:p>
      <w:pPr>
        <w:spacing w:after="0" w:line="135"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Crypto assets rely on blockchain and other technologies for their creation, existence, and transactional validation on their respective networks. This reliance subjects crypto assets, cryptocurrency exchanges, and other blockchain intermediaries to unique risks related to cybersecurity, malicious attack, and technological obsolescence. While we believe we have taken reasonable measures to secure our crypto assets, these risks, in addition to human errors and computer malfunctions, may result in theft, loss or destruction of private keys needed to access the crypto assets we hold, in which case we may lose part or all of the crypto assets we hold, and our financial condition and results of operations may be harmed.</w:t>
      </w:r>
    </w:p>
    <w:p>
      <w:pPr>
        <w:spacing w:after="0" w:line="143"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Under IFRS Accounting Standards, most crypto assets are currently accounted for as intangible assets with indefinite useful lives. This requires us to recognize impairment losses when their value declines, while increases in value above our cost are not recognized until disposition. In addition, accounting standards for crypto assets may change, which could require us to modify our accounting treatment or acquisition strategies in the future. See Note 10 to our consolidated financial statements and “—Impairment charges or credit losses could adversely affect our results of operations” for additional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 or credit losses could adversely affect our results of operations.</w:t>
      </w:r>
    </w:p>
    <w:p>
      <w:pPr>
        <w:spacing w:after="0" w:line="189"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We carry significant amounts of goodwill, intangible assets, and property and equipment on our balance sheet, primarily related to our acquisition of Opera Norway AS in 2016. As of December 31, 2025, goodwill and other intangible assets totaled $430.3 million and $98.9 million, respectively, and property and equipment totaled $32.7 million. These assets are tested for impairment when events or changes in circumstances indicate that their carrying amounts may not be recoverable. Irrespective of any impairment indicators, goodwill and other indefinite-lived intangible assets are tested annually for impairment. In assessing impairment, we consider a range of internal and external factors, including changes in operating performance, technology, competition, user behavior, and market conditions. Impairment losses on intangible assets amounted to $0.1 million in 2024 and $1.9 million in 2025. Future adverse</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developments could require additional impairment charges, which could be material and adversely affect our results of operations. See Notes 9 and 10 to our consolidated financial statements for additional information.</w:t>
      </w:r>
    </w:p>
    <w:p>
      <w:pPr>
        <w:spacing w:after="0" w:line="135"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We also hold minority investments in unconsolidated entities, including OPay, accounted for at fair value through profit or loss, as well as the MiniPay Fund managed by Verda Ventures and nHorizon Innovation, both accounted for using the equity method. As of December 31, 2025, the carrying amounts of these investments were $294.6 million, $4.0 million, and nil, respectively. The valuation and recoverability of these investments depend on significant estimates and assumptions, including the investees’ operating performance and prevailing market conditions. Although we recognized unrealized fair value gains on OPay in 2025 and in prior periods, future periods may reflect losses if estimated values decline. Any impairment or fair value losses on these investments could materially adversely affect our financial condition and results of operations. See Note 11 to our consolidated financial statements included elsewhere in this annual report for additional information on our investments in unconsolidated entities.</w:t>
      </w:r>
    </w:p>
    <w:p>
      <w:pPr>
        <w:spacing w:after="0" w:line="148"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In addition, we are exposed to credit risk related to trade receivables. We recognize an allowance for expected credit losses based on historical loss experience, current conditions, and reasonable and supportable forecasts. Adverse changes in macroeconomic conditions, customer liquidity, advertiser spending patterns, or partner financial stability could increase the risk of non-payment or delayed payment and require us to increase our allowance for expected credit losses. Any material increase in credit losses or deterioration in the collectability of our trade receivables could adversely affect our results of operations and financial position. See Notes 12 and 15 to our consolidated financial statements included elsewhere in this annual report for additional information on our exposure to credit risk and provisions for expected credit losses.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Technology, Intellectual Property, Data Protection and Cybersecurity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Failures or limitations in our technology infrastructure could adversely affect our business.</w:t>
      </w:r>
    </w:p>
    <w:p>
      <w:pPr>
        <w:spacing w:after="0" w:line="189" w:lineRule="exact"/>
        <w:rPr>
          <w:sz w:val="20"/>
          <w:szCs w:val="20"/>
          <w:color w:val="auto"/>
        </w:rPr>
      </w:pPr>
    </w:p>
    <w:p>
      <w:pPr>
        <w:jc w:val="both"/>
        <w:ind w:right="300" w:firstLine="374"/>
        <w:spacing w:after="0" w:line="266" w:lineRule="auto"/>
        <w:rPr>
          <w:sz w:val="20"/>
          <w:szCs w:val="20"/>
          <w:color w:val="auto"/>
        </w:rPr>
      </w:pPr>
      <w:r>
        <w:rPr>
          <w:rFonts w:ascii="Times New Roman" w:cs="Times New Roman" w:eastAsia="Times New Roman" w:hAnsi="Times New Roman"/>
          <w:sz w:val="18"/>
          <w:szCs w:val="18"/>
          <w:color w:val="auto"/>
        </w:rPr>
        <w:t>We continuously invest in upgrading and maintaining our technology infrastructure to support performance, scalability, reliability, and integration across our platforms. These efforts require significant ongoing investment of time and resources, including hardware, software, and skilled engineering personnel. There can be no assurance that such investments will be sufficient or will deliver the expected benefits.</w:t>
      </w:r>
    </w:p>
    <w:p>
      <w:pPr>
        <w:spacing w:after="0" w:line="135"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If we fail to adequately develop, maintain, or scale our technology infrastructure or proprietary systems, we may experience system disruptions, security incidents, performance degradation, reduced user satisfaction, or delays in producing accurate operating or financial information. In addition, because many of our platforms rely on internally developed and proprietary software, defects, failures, or limitations in these systems may be more difficult to detect, remedy, or replace.</w:t>
      </w:r>
    </w:p>
    <w:p>
      <w:pPr>
        <w:spacing w:after="0" w:line="153" w:lineRule="exact"/>
        <w:rPr>
          <w:sz w:val="20"/>
          <w:szCs w:val="20"/>
          <w:color w:val="auto"/>
        </w:rPr>
      </w:pPr>
    </w:p>
    <w:p>
      <w:pPr>
        <w:ind w:right="620" w:firstLine="374"/>
        <w:spacing w:after="0" w:line="282" w:lineRule="auto"/>
        <w:rPr>
          <w:sz w:val="20"/>
          <w:szCs w:val="20"/>
          <w:color w:val="auto"/>
        </w:rPr>
      </w:pPr>
      <w:r>
        <w:rPr>
          <w:rFonts w:ascii="Times New Roman" w:cs="Times New Roman" w:eastAsia="Times New Roman" w:hAnsi="Times New Roman"/>
          <w:sz w:val="18"/>
          <w:szCs w:val="18"/>
          <w:color w:val="auto"/>
        </w:rPr>
        <w:t>Any material failure, disruption, or inability to effectively upgrade our technology infrastructure could adversely affect our business, financial condition, results of operations, and reputation.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AI technologies in our products and services presents legal, regulatory and reputational risks.</w:t>
      </w:r>
    </w:p>
    <w:p>
      <w:pPr>
        <w:spacing w:after="0" w:line="18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We increasingly incorporate artificial intelligence technologies into our products and services. These technologies are complex, rapidly evolving, and subject to significant technical, legal, regulatory, and ethical uncertainty. The use of AI may not deliver the anticipated benefits and could expose us to increased costs, liabilities, or reputational harm.</w:t>
      </w:r>
    </w:p>
    <w:p>
      <w:pPr>
        <w:spacing w:after="0" w:line="14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AI-powered features may not be adopted by users or may fail to meet expectations regarding accuracy, reliability, transparency, or performance. AI systems, including large language models accessed through our products, may produce inaccurate, biased, misleading, or otherwise undesirable outputs due to limitations in training data, model design, or predictability. Such limitations may stem from data that is insufficient, erroneous, stale, biased, or in violation of intellectual property rights. In addition, AI systems can be adversely impacted by unforeseen defects, technical challenges, cybersecurity threats, or material performance issues. Such outcomes and incidents could reduce user trust, impair engagement, damage our brand, or could lead to civil liabilities.</w:t>
      </w:r>
    </w:p>
    <w:p>
      <w:pPr>
        <w:spacing w:after="0" w:line="147"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AI-generated outputs may give rise to intellectual property, data protection, consumer protection, defamation, or other legal claims. The legal framework governing the training, deployment, and use of generative AI remains unsettled, including the permissibility of using copyrighted works to train models and the availability of fair use or similar defenses. If providers of AI models we rely on incur increased costs, licensing obligations, restrictions, or liability, or if access to certain models is limited or withdrawn, our ability to offer or enhance AI-powered features could be adversely affected, and our operating costs may increase.</w:t>
      </w:r>
    </w:p>
    <w:p>
      <w:pPr>
        <w:spacing w:after="0" w:line="143"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We rely on a combination of internally developed systems and third-party AI models, tools, and infrastructure. Disruptions, pricing changes, usage restrictions, security incidents, or strategic decisions by third-party providers could impair our operations or limit our flexibility. Operating and scaling AI infrastructure also requires significant investment and may not generate expected returns.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right="520" w:firstLine="374"/>
        <w:spacing w:after="0" w:line="282" w:lineRule="auto"/>
        <w:rPr>
          <w:sz w:val="20"/>
          <w:szCs w:val="20"/>
          <w:color w:val="auto"/>
        </w:rPr>
      </w:pPr>
      <w:r>
        <w:rPr>
          <w:rFonts w:ascii="Times New Roman" w:cs="Times New Roman" w:eastAsia="Times New Roman" w:hAnsi="Times New Roman"/>
          <w:sz w:val="18"/>
          <w:szCs w:val="18"/>
          <w:color w:val="auto"/>
        </w:rPr>
        <w:t>The use of AI presents ethical, social, and reputational risks. If AI-enabled features are perceived to facilitate misinformation, harmful content, discrimination, or invasions of privacy, we could face user attrition, regulatory scrutiny, or reputational harm, even if such outcomes are unintended.</w:t>
      </w:r>
    </w:p>
    <w:p>
      <w:pPr>
        <w:spacing w:after="0" w:line="13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Regulation of AI is expanding rapidly and remains fragmented across jurisdictions. New or evolving laws and standards may require us to modify our products or business practices, increase compliance costs, limit certain features, or expose us to enforcement actions or liability. The scope and impact of these requirements remain uncertain.</w:t>
      </w:r>
    </w:p>
    <w:p>
      <w:pPr>
        <w:spacing w:after="0" w:line="135"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If we are unable to manage these risks effectively, our ability to innovate, compete, and maintain user trust could be adversely affected, which could materially harm our business,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and enforce intellectual property rights is subject to significant risk.</w:t>
      </w:r>
    </w:p>
    <w:p>
      <w:pPr>
        <w:spacing w:after="0" w:line="202"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Our patents, copyrights, trademarks, trade secrets, and other intellectual property are important to our business. We rely on a combination of intellectual property laws and contractual arrangements to protect these rights; however, such protections may be difficult to obtain, maintain, or enforce, particularly in certain jurisdictions where legal standards, judicial interpretation, or enforcement practices may be uncertain or inconsistent.</w:t>
      </w:r>
    </w:p>
    <w:p>
      <w:pPr>
        <w:spacing w:after="0" w:line="135"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Unauthorized use or misappropriation of our intellectual property by third parties, breaches of contractual protections, or limitations on available remedies could adversely affect our competitive position and reputation. Policing infringement is often difficult, time-consuming, and costly, and the measures we take may be insufficient to prevent misuse of our intellectual property. In addition, our trade secrets may be disclosed, lost, or independently developed by competitors.</w:t>
      </w:r>
    </w:p>
    <w:p>
      <w:pPr>
        <w:spacing w:after="0" w:line="139" w:lineRule="exact"/>
        <w:rPr>
          <w:sz w:val="20"/>
          <w:szCs w:val="20"/>
          <w:color w:val="auto"/>
        </w:rPr>
      </w:pPr>
    </w:p>
    <w:p>
      <w:pPr>
        <w:ind w:right="640" w:firstLine="374"/>
        <w:spacing w:after="0" w:line="266" w:lineRule="auto"/>
        <w:rPr>
          <w:sz w:val="20"/>
          <w:szCs w:val="20"/>
          <w:color w:val="auto"/>
        </w:rPr>
      </w:pPr>
      <w:r>
        <w:rPr>
          <w:rFonts w:ascii="Times New Roman" w:cs="Times New Roman" w:eastAsia="Times New Roman" w:hAnsi="Times New Roman"/>
          <w:sz w:val="18"/>
          <w:szCs w:val="18"/>
          <w:color w:val="auto"/>
        </w:rPr>
        <w:t>Enforcing our intellectual property rights may require litigation, which could result in substantial costs and divert management and financial resources, and there can be no assurance that we would prevail. Any inability to effectively protect or enforce our intellectual property rights could materially adversely affect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open source software could adversely affect our business.</w:t>
      </w:r>
    </w:p>
    <w:p>
      <w:pPr>
        <w:spacing w:after="0" w:line="18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incorporate open source software in our products and services, including browser technologies derived from the Chromium project. We distribute our software applications for use on operating systems based on Android and Linux open source projects. We also contribute to open source software communities and release certain internal software projects under open source licenses. While our engagement with and reliance on open source projects provides significant technical and development benefits, it also exposes us to legal, operational, and strategic risks.</w:t>
      </w:r>
    </w:p>
    <w:p>
      <w:pPr>
        <w:spacing w:after="0" w:line="13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terms of many open source licenses have not been extensively interpreted by courts, and there is a risk that such licenses could be construed in ways that impose unanticipated conditions or restrictions on our ability to use, modify, or distribute our software. We may also face claims alleging non-compliance with open source licenses or seeking to require the disclosure of proprietary source code, the purchase of licenses, or the modification or discontinuation of affected products. Resolving such claims could require significant management attention, legal expense, or costly re-engineering efforts, which may not be successful.</w:t>
      </w:r>
    </w:p>
    <w:p>
      <w:pPr>
        <w:spacing w:after="0" w:line="156"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In addition, open source software is typically provided without warranties or assurances regarding the origin or functionality of the code, which may in certain cases increase the risk of security vulnerabilities, defects, or intellectual property claims. To the extent we contribute proprietary code to open source projects, our ability to protect related intellectual property rights may be limited. Any failure to effectively manage these risks could adversely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intellectual property claims could adversely affect our business.</w:t>
      </w:r>
    </w:p>
    <w:p>
      <w:pPr>
        <w:spacing w:after="0" w:line="189"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We may be subject to claims that our products, services, technologies, or intellectual property infringe the patents, copyrights, or other intellectual property rights of third parties. We also operate platforms, including content discovery and distribution services, that display or distribute third-party content, and we cannot assure that we or third-party content providers have obtained all necessary rights with respect to such content.</w:t>
      </w:r>
    </w:p>
    <w:p>
      <w:pPr>
        <w:spacing w:after="0" w:line="149"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claims or legal proceedings in the ordinary course of business. Defending against such claims, regardless of merit, can be costly, time-consuming, and disruptive to our operations. If any claims are successful, we may be required to pay damages or licensing fees, modify or discontinue affected products or services, or develop alternative solutions, which may not be feasible or cost-effective.</w:t>
      </w:r>
    </w:p>
    <w:p>
      <w:pPr>
        <w:spacing w:after="0" w:line="139"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Any material infringement claims or restrictions on our use of third-party intellectual property could disrupt our business, increase costs, or adversely affect our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or enforce patent and trademark protection could adversely affect our business.</w:t>
      </w:r>
    </w:p>
    <w:p>
      <w:pPr>
        <w:spacing w:after="0" w:line="202"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We apply for patents and trademark registrations, including for our Opera brand and related marks, in jurisdictions where we operate. The approval of these applications, as well as changes in registrations, is subject to review by relevant authorities and may be delayed, limited, or denied due to prior rights or other grounds. We cannot assure you that any pending patent or trademark applications will be approved.</w:t>
      </w:r>
    </w:p>
    <w:p>
      <w:pPr>
        <w:spacing w:after="0" w:line="135"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Even if approved, issued patents or registered trademarks may be limited in scope, subject to challenge, or insufficient to prevent third parties from using similar technologies or marks. Any failure to obtain, maintain, or enforce adequate patent or trademark protection could adversely affect our competitive position, brand value, or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collection and use of user data could adversely affect user trust and our business.</w:t>
      </w:r>
    </w:p>
    <w:p>
      <w:pPr>
        <w:spacing w:after="0" w:line="202"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collect, process, and share certain user data, including personal data, to operate and improve our products and services, support advertising, and deliver personalized content. We also process data in connection with AI-enabled features and advertising activities, including data obtained through third-party websites, applications, and services with which we may have limited visibility or direct relationships.</w:t>
      </w:r>
    </w:p>
    <w:p>
      <w:pPr>
        <w:spacing w:after="0" w:line="135"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Concerns about the collection, use, sharing, or security of user data, whether well-founded or not, could harm our reputation, reduce user trust or engagement, and subject us to regulatory inquiries or enforcement actions. While we seek to comply with applicable data protection and privacy laws and to be transparent in our disclosures, actual or perceived failures to do so, or misuse of data by third parties with whom we interact, could result in investigations, litigation, fines, or other liabilities, as well as negative publicity.</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Any of these outcomes could adversely affect our business, results of operations, and reputation.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privacy and consumer protection laws could adversely affect our business.</w:t>
      </w:r>
    </w:p>
    <w:p>
      <w:pPr>
        <w:spacing w:after="0" w:line="18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are subject to a wide range of laws and regulations that are central to our business, including those relating to user privacy, data protection, artificial intelligence, protection of minors, rights of publicity, and consumer protection. These requirements are complex, evolving, and differ significantly across jurisdictions. In certain regions, including the European Economic Area, regulators and courts have applied data protection and related laws strictly, particularly in areas involving international data transfers, digital advertising, and the use of personal data in AI-enabled services.</w:t>
      </w:r>
    </w:p>
    <w:p>
      <w:pPr>
        <w:spacing w:after="0" w:line="13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Privacy and data protection laws continue to expand globally, including in jurisdictions significant to our business such as the United States, the European Union, and various emerging markets. New or amended laws, regulations, and enforcement approaches, particularly those affecting data sharing, targeted advertising, or AI-related processing, may impose additional obligations, restrict certain business practices, or increase compliance costs. The interpretation and application of these requirements are often uncertain and may change over time, including through regulatory guidance, enforcement actions, or judicial decisions.</w:t>
      </w:r>
    </w:p>
    <w:p>
      <w:pPr>
        <w:spacing w:after="0" w:line="156"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Actual or alleged non-compliance with applicable laws and regulations, or changes in their interpretation or enforcement, could result in investigations, claims, fines, litigation, reputational harm, or the need to modify our products, services, or data practices. Any of these outcomes could adversely affect our user growth, engagement, operating costs, and business results. See “Item 4. Information on the Company—B. Business Overview— Regulations—Regulations on Data Protection and Information Security” for additional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data security incidents could adversely affect our business.</w:t>
      </w:r>
    </w:p>
    <w:p>
      <w:pPr>
        <w:spacing w:after="0" w:line="18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We collect, store, and process personal and other sensitive data in the ordinary course of our business, which makes us and our third-party service providers targets for cybersecurity threats. We have experienced, and expect to continue to experience, attempts to gain unauthorized access to our systems or data through a variety of means, including hacking, malware, phishing, social engineering, and attacks on third-party vendors.</w:t>
      </w:r>
    </w:p>
    <w:p>
      <w:pPr>
        <w:spacing w:after="0" w:line="149" w:lineRule="exact"/>
        <w:rPr>
          <w:sz w:val="20"/>
          <w:szCs w:val="20"/>
          <w:color w:val="auto"/>
        </w:rPr>
      </w:pPr>
    </w:p>
    <w:p>
      <w:pPr>
        <w:jc w:val="both"/>
        <w:ind w:right="160" w:firstLine="374"/>
        <w:spacing w:after="0" w:line="261" w:lineRule="auto"/>
        <w:rPr>
          <w:sz w:val="20"/>
          <w:szCs w:val="20"/>
          <w:color w:val="auto"/>
        </w:rPr>
      </w:pPr>
      <w:r>
        <w:rPr>
          <w:rFonts w:ascii="Times New Roman" w:cs="Times New Roman" w:eastAsia="Times New Roman" w:hAnsi="Times New Roman"/>
          <w:sz w:val="18"/>
          <w:szCs w:val="18"/>
          <w:color w:val="auto"/>
        </w:rPr>
        <w:t>Cyber threats are increasingly sophisticated, difficult to detect, and constantly evolving, including through the use of artificial intelligence and other advanced technologies. Certain attacks may be state-sponsored or influenced by geopolitical developments, further increasing their scale and complexity. While we have implemented security measures designed to protect our systems and data, no safeguards are foolproof, and we cannot assure you that our measures or those of our service providers will prevent all security breaches, disruptions, or data compromises.</w:t>
      </w:r>
    </w:p>
    <w:p>
      <w:pPr>
        <w:spacing w:after="0" w:line="139"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In addition, certain parts of our business rely on third-party payment processors and other vendors that may hold funds or process data on our behalf. Security failures or operational disruptions affecting these third parties could result in financial losses, service interruptions, or reputational harm to us, even if our own systems are not compromised.</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80" w:firstLine="374"/>
        <w:spacing w:after="0" w:line="261" w:lineRule="auto"/>
        <w:rPr>
          <w:sz w:val="20"/>
          <w:szCs w:val="20"/>
          <w:color w:val="auto"/>
        </w:rPr>
      </w:pPr>
      <w:r>
        <w:rPr>
          <w:rFonts w:ascii="Times New Roman" w:cs="Times New Roman" w:eastAsia="Times New Roman" w:hAnsi="Times New Roman"/>
          <w:sz w:val="18"/>
          <w:szCs w:val="18"/>
          <w:color w:val="auto"/>
        </w:rPr>
        <w:t>Any actual or perceived cybersecurity incident, including unauthorized access to or disclosure of data, system disruption, loss of data integrity, or failures by third-party providers, could result in violations of privacy or other laws, regulatory investigations, litigation, financial losses, increased remediation costs, reputational harm, or loss of user, partner, or advertiser trust. Any such outcomes could materially adversely affect our business, financial condition, and results of operations. See “Item 16K. Cybersecurity”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software interference could adversely affect user experience.</w:t>
      </w:r>
    </w:p>
    <w:p>
      <w:pPr>
        <w:spacing w:after="0" w:line="189"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Our business may be adversely affected by third-party software applications, whether intentional or malicious, that interfere with the operation of our products on users’ devices. Such software may alter device settings, hijack queries, modify or replace search results, or otherwise disrupt our ability to deliver content and services to users, sometimes without the user’s knowledge or consent.</w:t>
      </w:r>
    </w:p>
    <w:p>
      <w:pPr>
        <w:spacing w:after="0" w:line="135"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Interference by third-party software can degrade user experience, be difficult to detect or remove, and may cause users to attribute resulting issues to our products rather than to the interfering software. In addition, software installed on devices where our applications are pre-installed may be incompatible with or impair the operation of our products, reducing usage or engagement.</w:t>
      </w:r>
    </w:p>
    <w:p>
      <w:pPr>
        <w:spacing w:after="0" w:line="149"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If we are unable to effectively prevent, detect, or mitigate interference by third-party software, our ability to provide a consistent and high-quality user experience, maintain user trust, and support monetization could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depend on the reliability and availability of our technology systems.</w:t>
      </w:r>
    </w:p>
    <w:p>
      <w:pPr>
        <w:spacing w:after="0" w:line="18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Interruptions or failures of our information technology, communications systems, or those of third-party data centers and internet properties on which we rely could impair our ability to deliver our services. Our operations may also be disrupted by natural disasters, power or telecommunications outages, cybersecurity incidents, or other events beyond our control.</w:t>
      </w:r>
    </w:p>
    <w:p>
      <w:pPr>
        <w:spacing w:after="0" w:line="149"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Our systems rely on third-party providers of hosting, co-location and other similar services, and while we maintain disaster recovery and business continuity measures, these measures may not address all potential scenarios. Some systems may not be fully redundant, and disruptions at third-party facilities, including unplanned closures or security incidents, could result in partial or prolonged service interruptions.</w:t>
      </w:r>
    </w:p>
    <w:p>
      <w:pPr>
        <w:spacing w:after="0" w:line="135"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Any significant interruption, degradation in performance, or increase in response times could negatively affect user experience, user engagement, advertiser demand, and our reputation. Addressing these risks may require additional capital expenditures, including investments in redundancy, infrastructure, or alternative hosting arrangements. Any of these factors could adversely affect our business,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Third-Party Platforms, Services, and Dependencies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or loss of key third-party partnerships could adversely affect our business.</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business and growth strategy involve collaborations with third parties that provide access to user traffic, distribution channels, advertising demand and inventory, search services, content, technology, and operational support. These include search, AI, and technology partners; device manufacturers and app storefronts that support distribution of our products; advertising platforms used in connection with Opera Ads; media and content providers; and third-party service providers that support auxiliary functions such as data storage, analytics, and measurement of user activity. We also place promotional links to search providers and other partners in our browsers, which contributes to our revenue and user experience.</w:t>
      </w:r>
    </w:p>
    <w:p>
      <w:pPr>
        <w:spacing w:after="0" w:line="143"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These relationships are important to our ability to deliver competitive products and services, maintain and grow our user base, and monetize our platforms. The terms, scope, performance, or availability of these collaborations and services may change, and third parties may modify, suspend, or terminate their arrangements with us, or experience service disruptions. We may not be able to maintain existing relationships, replace affected services, or establish new arrangements on comparable terms, or at all. In addition, competitors may enter into similar relationships, which could reduce any competitive advantage derived from our partnerships.</w:t>
      </w:r>
    </w:p>
    <w:p>
      <w:pPr>
        <w:spacing w:after="0" w:line="156"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If we are unable to sustain, replace, or expand key third-party relationships or services, or if their value diminishes due to competitive, technological, commercial, or operational changes, our revenue, operations, growth prospects, and results of operations could be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MiniPay’s reliance on the Celo blockchain and other third-party platforms and infrastructure exposes us to operational risks outside our control.</w:t>
      </w:r>
    </w:p>
    <w:p>
      <w:pPr>
        <w:spacing w:after="0" w:line="18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MiniPay operates on the Celo blockchain, an open-source, public blockchain network maintained by a decentralized community of developers, validators, and ecosystem participants. MiniPay’s functionality, performance, and reliability depend in significant part on the continued operation, security, and acceptance of the Celo blockchain and its supporting infrastructure. We do not control the Celo protocol, its validator set, consensus mechanisms, governance processes, or the timing and substance of protocol upgrades.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Changes to the Celo blockchain, whether through scheduled upgrades, governance decisions, forks, or emergency modifications, could result in software defects, security vulnerabilities, network instability, transaction delays, increased transaction costs, or compatibility issues with MiniPay. If such changes adversely affect the Celo network or are incompatible with MiniPay, we may be required to expend significant resources to maintain functionality, or MiniPay’s availability or performance could be impaired.</w:t>
      </w:r>
    </w:p>
    <w:p>
      <w:pPr>
        <w:spacing w:after="0" w:line="153"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In addition, MiniPay integrates third-party services and depends on third-party technical and operational infrastructure within the broader ecosystem, including providers of crypto exchanges, node services, wallet tooling, and other supporting services. These third parties are outside our control, and their services may be subject to outages, capacity constraints, cyber-attacks, regulatory risks, operational failures, or withdrawal of support. Concentration among a limited number of such providers may increase the risk that a single failure could materially disrupt MiniPay’s operations.</w:t>
      </w:r>
    </w:p>
    <w:p>
      <w:pPr>
        <w:spacing w:after="0" w:line="13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failure, interruption, or material modification of services provided by the Celo network or other critical third-party infrastructure or counterparties could require us to suspend, limit, or materially modify MiniPay or certain of its features. In the event of prolonged instability, reduced ecosystem support, or diminished adoption of the Celo blockchain, we may be required to migrate MiniPay to an alternative blockchain or re-architect the product, which could involve incremental cost, technical complexity, user disruption, and reputational harm. Any of these events could materially and adversely affect our MiniPay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content or services could harm our reputation or expose us to liability.</w:t>
      </w:r>
    </w:p>
    <w:p>
      <w:pPr>
        <w:spacing w:after="0" w:line="20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Our browsers and platforms integrate search, commerce, content, messaging, gaming, and AI services provided by third parties. These include search providers, e-commerce and travel partners, content creators and publishers, game developers, and third-party AI and messaging services integrated into our products. We do not control the products, services, or content provided by these third parties and cannot assure that they will meet user expectations, be accurately represented, or comply with applicable laws and standards.</w:t>
      </w:r>
    </w:p>
    <w:p>
      <w:pPr>
        <w:spacing w:after="0" w:line="139"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We host and distribute third-party content across several platforms, including content discovery and gaming portals, and we enable AI-powered features that may rely on third-party models or live web results. Our ability to monitor, identify, and remove content that may be inaccurate, misleading, defamatory, offensive, or unlawful may be limited. The presence of inappropriate or low-quality content, service failures, or perceived misuse of AI-enabled features could harm user trust and damage our reputation.</w:t>
      </w:r>
    </w:p>
    <w:p>
      <w:pPr>
        <w:spacing w:after="0" w:line="13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In addition, the global nature of our operations exposes us to legal and regulatory risk related to third-party activities. Regulators or courts in certain jurisdictions may seek to impose liability on us for third-party content or conduct, adopt expansive interpretations of jurisdiction, or apply laws in ways we do not anticipate. Contractual protections with third parties may be insufficient to prevent or fully offset resulting losses or reputational harm. Any of these outcomes could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third-party distribution channels could adversely affect our business.</w:t>
      </w:r>
    </w:p>
    <w:p>
      <w:pPr>
        <w:spacing w:after="0" w:line="189" w:lineRule="exact"/>
        <w:rPr>
          <w:sz w:val="20"/>
          <w:szCs w:val="20"/>
          <w:color w:val="auto"/>
        </w:rPr>
      </w:pPr>
    </w:p>
    <w:p>
      <w:pPr>
        <w:ind w:right="340" w:firstLine="374"/>
        <w:spacing w:after="0" w:line="261" w:lineRule="auto"/>
        <w:rPr>
          <w:sz w:val="20"/>
          <w:szCs w:val="20"/>
          <w:color w:val="auto"/>
        </w:rPr>
      </w:pPr>
      <w:r>
        <w:rPr>
          <w:rFonts w:ascii="Times New Roman" w:cs="Times New Roman" w:eastAsia="Times New Roman" w:hAnsi="Times New Roman"/>
          <w:sz w:val="18"/>
          <w:szCs w:val="18"/>
          <w:color w:val="auto"/>
        </w:rPr>
        <w:t>We rely on third-party distribution channels to distribute our products and services to end users, including mobile application storefronts such as Google Play, Apple’s App Store, and app stores operated by device manufacturers, as well as pre-installation arrangements with device manufacturers. These distribution channels are subject to the terms, policies, and technical requirements set by the channel providers, which may be broad, subject to unilateral change, inconsistently applied, or interpreted in ways that are unfavorable to us.</w:t>
      </w:r>
    </w:p>
    <w:p>
      <w:pPr>
        <w:spacing w:after="0" w:line="13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Channel providers may modify their terms, pricing, technical standards, or enforcement practices, or give preferential treatment to competing products or their own services. They may also restrict, suspend, or remove our applications, including if they unilaterally determine that we have violated their policies, regardless of whether such policies are lawful, clear, consistently enforced, or practical in certain markets. We have experienced temporary distribution interruptions in the past and may do so again.</w:t>
      </w:r>
    </w:p>
    <w:p>
      <w:pPr>
        <w:spacing w:after="0" w:line="153"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In addition, technical issues, regulatory changes, service disruptions, or operational failures affecting distribution channel providers could degrade the functionality of our products, limit our ability to distribute or promote our offerings, or adversely affect user acquisition, engagement, or monetization. If we are unable to maintain effective access to key distribution channels on acceptable terms, our business, financial condition, and results of operations could be materially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or limitations in internet and telecommunications infrastructure could adversely affect our business.</w:t>
      </w:r>
    </w:p>
    <w:p>
      <w:pPr>
        <w:spacing w:after="0" w:line="18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Our business depends on the performance and reliability of internet infrastructure and third-party data centers, cloud computing, and telecommunications providers in the markets where we operate. In certain regions, particularly emerging markets, infrastructure limitations may constrain performance or fail to support continued growth in internet usage. Moreover, growth in AI-related investments, increased market demand for data center and cloud computing capacity, as well as demand for associated hardware, may constrain our ability to maintain access to such infrastructure, or may alter its cost-effectiveness.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We rely on third-party data center and cloud providers to host our servers and services, and store business data. We do not control these facilities, and our agreements may not be renewed on commercially reasonable terms, or at all. If a provider modifies service levels, experiences disruptions, is acquired, or terminates its relationship with us, we may be required to migrate our infrastructure to alternative providers, which could involve significant costs, operational complexity, and service interruptions.</w:t>
      </w:r>
    </w:p>
    <w:p>
      <w:pPr>
        <w:spacing w:after="0" w:line="153"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also rely on telecommunications operators to provide data communications capacity. Disruptions, failures, capacity constraints, or price increases affecting these providers could impair service availability or performance for us or our users. Service interruptions or degraded performance could harm user experience, reduce usage, adversely affect revenue and advertiser demand, expose us to potential liability, and damage our reputation.</w:t>
      </w:r>
    </w:p>
    <w:p>
      <w:pPr>
        <w:spacing w:after="0" w:line="13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If we are unable to maintain reliable, cost-effective access to internet infrastructure, data center, cloud, and telecommunications services, our business, financial condition, and results of operations could be materially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Internet access providers and government actions may restrict access to our products</w:t>
      </w:r>
    </w:p>
    <w:p>
      <w:pPr>
        <w:spacing w:after="0" w:line="202"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products and services depend on users’ ability to access the internet, which is largely controlled by broadband, mobile, and other internet access providers that may have significant market power in the regions where we operate. These providers may take actions that degrade, restrict, or increase the cost of access to our products, including through pricing changes, technical limitations, traffic management practices, or other measures affecting the use of their infrastructure.</w:t>
      </w:r>
    </w:p>
    <w:p>
      <w:pPr>
        <w:spacing w:after="0" w:line="13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In addition, governments or regulators in certain jurisdictions may impose restrictions, limitations, or blockages affecting access to our products and services or their functionality. Any such actions by access providers or governmental authorities could reduce user engagement, impair our ability to attract or retain users and advertisers, increase our costs, and adversely affect our revenue, growth,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Reporting and Information Disclosure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financial reporting could adversely affect our business.</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As a public company in the United States, we are subject to the Sarbanes-Oxley Act of 2002. Section 404 requires management to assess and report on the effectiveness of our internal control over financial reporting (“ICFR”) in our annual report on Form 20-F. During 2025, we completed remediation of a previously identified material weakness in our ICFR through the design and implementation of additional business process controls and enhancements to controls over the completeness and accuracy of information used in financial reporting. As a result, management concluded that our ICFR was effective as of December 31, 2025.</w:t>
      </w:r>
    </w:p>
    <w:p>
      <w:pPr>
        <w:spacing w:after="0" w:line="14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Notwithstanding these remediation efforts, maintaining effective ICFR requires ongoing monitoring, continuous improvement, and the commitment of significant resources. We may identify control deficiencies in the future, including as our business evolves, systems change, personnel turn over, or regulatory requirements become more complex. There can be no assurance that our controls will prevent or detect all errors or misstatements on a timely basis.</w:t>
      </w:r>
    </w:p>
    <w:p>
      <w:pPr>
        <w:spacing w:after="0" w:line="153"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If we fail to maintain effective ICFR, we could be subject to material misstatements in our financial statements, restatements, delays in reporting, loss of investor confidence, regulatory scrutiny, reduced access to capital markets, or a decline in the trading price of our ADSs. Ineffective ICFR could also increase the risk of fraud or misuse of corporate assets and, in severe cases, result in listing or enforcement consequences.</w:t>
      </w:r>
    </w:p>
    <w:p>
      <w:pPr>
        <w:spacing w:after="0" w:line="135"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costs, management time, and resources to maintain compliance with Section 404 and other Sarbanes-Oxley requirements. See “Item 15. Controls and Procedures—B. Management’s Annual Report on Internal Control over Financial Reporting”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valuation of our OPay investment is highly uncertain and may result in material volatility in our results of operations.</w:t>
      </w:r>
    </w:p>
    <w:p>
      <w:pPr>
        <w:spacing w:after="0" w:line="20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accordance with IFRS Accounting Standards requires management to make estimates and judgments that affect the reported amounts of assets and liabilities, revenues and expenses, and related disclosures. These estimates and judgments are inherently uncertain and may differ from actual results, particularly where observable market data is limited. A primary area of such uncertainty is our investment in OPay, which had a carrying amount of $294.6 million as of December 31, 2025. This investment is measured at fair value through profit or loss and classified as Level 3 within the fair value hierarchy. Because Level 3 valuations rely on unobservable inputs, they carry a higher degree of risk that the carrying value may not reflect the actual proceeds of a future liquidity event.</w:t>
      </w:r>
    </w:p>
    <w:p>
      <w:pPr>
        <w:spacing w:after="0" w:line="147"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We estimate the fair value of our OPay investment using a probability-weighted expected return method (“PWERM”). This methodology requires us to exercise significant judgment in identifying potential future outcomes for OPay, assigning probabilities to those outcomes, and estimating the value under various scenarios. These estimates involve critical assumptions regarding the timing and likelihood of potential liquidity events, valuations, discount rates, and adjustments for illiquidity. Because the valuation depends</w:t>
      </w:r>
    </w:p>
    <w:p>
      <w:pPr>
        <w:sectPr>
          <w:pgSz w:w="11900" w:h="16838" w:orient="portrait"/>
          <w:cols w:equalWidth="0" w:num="1">
            <w:col w:w="11240"/>
          </w:cols>
          <w:pgMar w:left="320" w:top="256" w:right="339"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these inputs, the estimated fair value of the investment is inherently uncertain and subject to change as new information becomes available or market conditions evolve.</w:t>
      </w:r>
    </w:p>
    <w:p>
      <w:pPr>
        <w:spacing w:after="0" w:line="135"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Changes in the fair value of the OPay investment are recognized directly in profit or loss. As a result, updates to the assumptions and estimates used in the valuation may result in substantial gains or losses in a given period, which could cause significant volatility in our reported results and equity. For additional information regarding our valuation approach, including key assumptions and their sensitivities to the fair value, see Note 11 to our consolidated financial statements included elsewhere in this annual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Inaccuracies or misinterpretation of our operating metrics could harm our business.</w:t>
      </w:r>
    </w:p>
    <w:p>
      <w:pPr>
        <w:spacing w:after="0" w:line="18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We report operating metrics, such as MAUs, ARPU and advertising reach, to help investors assess our performance and growth trends. These metrics are calculated using internal data and methodologies and are not independently verified by third parties. While these metrics are based on what we believe to be reliable data, there are inherent challenges in measuring how our products and services are used across large populations throughout the regions that we operate in. For example, we typically are not able to distinguish individual users who use multiple applications. Our user metrics are also affected by technology on certain mobile devices that automatically runs in the background, and this activity can cause our system to miscount the user metrics associated with such applications. In addition, our metrics may be affected by other technical factors, system changes, or platform upgrades, which could result in data loss, miscounting, or inconsistencies over time. Errors or inaccuracies in our metrics could lead to incorrect business decisions, inefficiencies, or misallocation of resources. In addition, if our reported metrics are perceived as inaccurate or are later determined to be materially misstated, our credibility with investors, partners, or advertisers could be harmed.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estimates and market data may be inaccurate or inconsistent.</w:t>
      </w:r>
    </w:p>
    <w:p>
      <w:pPr>
        <w:spacing w:after="0" w:line="189" w:lineRule="exact"/>
        <w:rPr>
          <w:sz w:val="20"/>
          <w:szCs w:val="20"/>
          <w:color w:val="auto"/>
        </w:rPr>
      </w:pPr>
    </w:p>
    <w:p>
      <w:pPr>
        <w:jc w:val="both"/>
        <w:ind w:right="280" w:firstLine="374"/>
        <w:spacing w:after="0" w:line="266" w:lineRule="auto"/>
        <w:rPr>
          <w:sz w:val="20"/>
          <w:szCs w:val="20"/>
          <w:color w:val="auto"/>
        </w:rPr>
      </w:pPr>
      <w:r>
        <w:rPr>
          <w:rFonts w:ascii="Times New Roman" w:cs="Times New Roman" w:eastAsia="Times New Roman" w:hAnsi="Times New Roman"/>
          <w:sz w:val="18"/>
          <w:szCs w:val="18"/>
          <w:color w:val="auto"/>
        </w:rPr>
        <w:t>Certain industry data, forecasts, and market statistics included in this annual report are derived from publicly available information and third-party industry reports. These sources may rely on different assumptions, estimates, or methodologies, and we have not independently verified the accuracy or completeness of such information. As a result, industry data from different sources may not be comparable or consistent.</w:t>
      </w:r>
    </w:p>
    <w:p>
      <w:pPr>
        <w:spacing w:after="0" w:line="135"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Industry data and market estimates are inherently uncertain and subject to change, as they depend on assumptions and judgments regarding factors such as market definitions, geographic scope, and user behavior. Any differences in interpretation or methodology could result in variations or inaccuracies in reported industry data, projections, or estimates, which could affect how our business or market position is perceived.</w:t>
      </w:r>
    </w:p>
    <w:p>
      <w:pPr>
        <w:spacing w:after="0" w:line="145" w:lineRule="exact"/>
        <w:rPr>
          <w:sz w:val="20"/>
          <w:szCs w:val="20"/>
          <w:color w:val="auto"/>
        </w:rPr>
      </w:pPr>
    </w:p>
    <w:p>
      <w:pPr>
        <w:ind w:right="510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Risks Related to Our ADSs, Share Ownership Structure, and Regulatory Status </w:t>
      </w:r>
      <w:r>
        <w:rPr>
          <w:rFonts w:ascii="Times New Roman" w:cs="Times New Roman" w:eastAsia="Times New Roman" w:hAnsi="Times New Roman"/>
          <w:sz w:val="18"/>
          <w:szCs w:val="18"/>
          <w:b w:val="1"/>
          <w:bCs w:val="1"/>
          <w:i w:val="1"/>
          <w:iCs w:val="1"/>
          <w:color w:val="auto"/>
        </w:rPr>
        <w:t>The market price and trading volume of our ADSs may be volatile.</w:t>
      </w:r>
    </w:p>
    <w:p>
      <w:pPr>
        <w:ind w:right="20" w:firstLine="374"/>
        <w:spacing w:after="0" w:line="312" w:lineRule="auto"/>
        <w:rPr>
          <w:sz w:val="20"/>
          <w:szCs w:val="20"/>
          <w:color w:val="auto"/>
        </w:rPr>
      </w:pPr>
      <w:r>
        <w:rPr>
          <w:rFonts w:ascii="Times New Roman" w:cs="Times New Roman" w:eastAsia="Times New Roman" w:hAnsi="Times New Roman"/>
          <w:sz w:val="17"/>
          <w:szCs w:val="17"/>
          <w:color w:val="auto"/>
        </w:rPr>
        <w:t>The market price and trading volume of our ADSs may fluctuate significantly and unpredictably due to factors beyond our control. These may include general market and industry conditions, concerns regarding the global economy or geopolitical developments, as well as factors specific to our business.</w:t>
      </w:r>
    </w:p>
    <w:p>
      <w:pPr>
        <w:spacing w:after="0" w:line="1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the market price and trading volume of our ADSs may be affected by, among other things:</w:t>
      </w:r>
    </w:p>
    <w:p>
      <w:pPr>
        <w:spacing w:after="0" w:line="18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actual or anticipated financial results, dividends, or cash flows;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investments, divestments, acquisitions, strategic partnerships, or other corporate transactions by us or our competitors;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services, or changes in our competitive position;</w:t>
      </w:r>
    </w:p>
    <w:p>
      <w:pPr>
        <w:spacing w:after="0" w:line="184"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recommendations, or coverage by securities or industry analysts, including downgrades of our ADSs or the initiation or cessation of analyst coverage, which could reduce market visibility or investor interest;</w:t>
      </w:r>
    </w:p>
    <w:p>
      <w:pPr>
        <w:spacing w:after="0" w:line="121"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or speculation regarding our business, platforms, or industry, including allegations by short sellers, whether or not well founded;</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84"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equity securities by us, or substantial sales of equity securities by our existing shareholders, or the market perception that such issuances or sales could occur;</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in our share repurchase program;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litigation, regulatory actions, or other risk factors described in this annual report.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Any of these factors could result in significant volatility in the trading price or volume of our ADSs.</w:t>
      </w:r>
    </w:p>
    <w:p>
      <w:pPr>
        <w:spacing w:after="0" w:line="198"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Volatility in the trading price of our ADSs may increase the likelihood of securities litigation. Such litigation, regardless of outcome, could result in substantial costs, divert management attention, harm our reputation, and adversely affect our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Returns on an investment in our ADSs depend on dividends and the market price of our ADSs.</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 June 2023, our Board of Directors adopted a recurring semi-annual cash dividend program, under which we have declared and paid semi-annual dividends to shareholders. We currently intend to continue paying regular semi-annual dividends; however, any future dividend is subject to the approval of our Board of Directors and compliance with Cayman Islands law.</w:t>
      </w:r>
    </w:p>
    <w:p>
      <w:pPr>
        <w:spacing w:after="0" w:line="149"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The amount, timing, and frequency of future dividends will depend on a variety of factors, including our earnings, cash flows, capital requirements, financial condition, contractual restrictions, and other considerations deemed relevant by our Board of Directors. Our Board has full discretion to reduce, suspend, or discontinue dividends at any time. Any dividends paid to ADS holders will be subject to applicable fees and expenses under the deposit agreement.</w:t>
      </w:r>
    </w:p>
    <w:p>
      <w:pPr>
        <w:spacing w:after="0" w:line="13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Accordingly, any return on an investment in our ADSs will depend on a combination of dividends actually paid, if any, and changes in the market price of our ADSs. There can be no assurance that dividends will continue to be paid or that the market price of our ADSs will increase, and investors may not realize a return on their investment and could lose all or part of their investment.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Kunlun and our executive chairman have control over our company and their interests may not be aligned with those of other shareholders.</w:t>
      </w:r>
    </w:p>
    <w:p>
      <w:pPr>
        <w:spacing w:after="0" w:line="202" w:lineRule="exact"/>
        <w:rPr>
          <w:sz w:val="20"/>
          <w:szCs w:val="20"/>
          <w:color w:val="auto"/>
        </w:rPr>
      </w:pPr>
    </w:p>
    <w:p>
      <w:pPr>
        <w:jc w:val="both"/>
        <w:ind w:right="60"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Kunlun, a Chinese public company listed on the Shenzhen Stock Exchange, indirectly owns approximately 68.0% of our outstanding ordinary shares, and we are therefore a consolidated subsidiary of Kunlun. In addition, our Executive Chairman of the Board, Mr. Zhou, is also a controlling shareholder of Kunlun.</w:t>
      </w:r>
    </w:p>
    <w:p>
      <w:pPr>
        <w:spacing w:after="0" w:line="135"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As a result, Kunlun and Mr. Zhou have the ability to control or significantly influence matters requiring shareholder approval, including the election and composition of our Board of Directors, strategic direction and business policies, mergers or other business combinations, dispositions of substantially all of our assets, and transactions that could result in a change of control. These actions may be taken even if they are opposed by holders of our ADSs.</w:t>
      </w:r>
    </w:p>
    <w:p>
      <w:pPr>
        <w:spacing w:after="0" w:line="135"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This concentration of ownership may discourage, delay, or prevent a change in control of our company, potentially depriving ADS holders of an opportunity to receive a premium for their ADSs and adversely affecting the market price of our ADSs.</w:t>
      </w:r>
    </w:p>
    <w:p>
      <w:pPr>
        <w:spacing w:after="0" w:line="135"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We have entered into, and may continue to enter into, related-party transactions with entities controlled by Kunlun or Mr. Zhou. Although such transactions are reviewed and approved by our Audit Committee, which consists solely of independent directors, they may indirectly benefit Kunlun or Mr. Zhou by virtue of their ownership interests. For additional information, see “Item 6. Directors, Senior Management and Employees—E. Share Ownership” and “Item 7. Major Shareholders and Related Party Transactions—B. Related Party Transactions.”</w:t>
      </w:r>
    </w:p>
    <w:p>
      <w:pPr>
        <w:spacing w:after="0" w:line="13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In addition, because Kunlun is a China-based public company, and Mr. Zhou is a Chinese national, they are subject to the laws and regulatory environment of the PRC and actions by PRC authorities, which could affect Kunlun’s operations, financial condition, or ability to exercise control over us. Such developments could influence decisions made by Kunlun or Mr. Zhou with respect to our company, create additional uncertainty for investors, or adversely affect the trading price of our ADSs. These risks may be heightened by evolving geopolitical tensions, regulatory scrutiny of Chinese-controlled companies, or restrictions on capital movements or cross-border transactions.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 “controlled company” could adversely affect the corporate governance protections afforded to our ADS holders.</w:t>
      </w:r>
    </w:p>
    <w:p>
      <w:pPr>
        <w:spacing w:after="0" w:line="202"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Due to the beneficial ownership of Kunlun and our Executive Chairman, we qualify as a “controlled company” under Nasdaq rules. As a result, we are permitted to rely on certain exemptions from Nasdaq corporate governance requirements, including requirements that a majority of our Board of Directors be independent and that our compensation and nominating and corporate governance committees consist entirely of independent directors.</w:t>
      </w:r>
    </w:p>
    <w:p>
      <w:pPr>
        <w:spacing w:after="0" w:line="135"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We currently rely on certain of these exemptions, as described in “Item 16G. Corporate Governance” of this annual report. As long as we remain a controlled company relying on any of such exemptions and during any applicable transition period following a change in that status, holders of our ADSs will not have the same corporate governance protections as shareholders of companies that are subject to all Nasdaq governance requirements.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multiple regulatory regimes may increase costs and limit operational flexibility.</w:t>
      </w:r>
    </w:p>
    <w:p>
      <w:pPr>
        <w:spacing w:after="0" w:line="202"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We are subject to a complex and evolving set of legal, regulatory, and governance requirements across multiple jurisdictions. As a foreign private issuer listed on Nasdaq, we are subject to U.S. securities laws and exchange listing standards applicable to foreign private issuers. We are also subject to additional corporate governance and reporting requirements as a majority-owned subsidiary of a China-listed parent company. In addition, we are headquartered in Norway and subject to Norwegian regulatory requirements. The interaction of these regulatory regimes, and differences in their scope, timing and interpretation, increase the complexity of our compliance environment and require significant management attention and resources.</w:t>
      </w:r>
    </w:p>
    <w:p>
      <w:pPr>
        <w:spacing w:after="0" w:line="143"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Regulatory and governance requirements across the jurisdictions in which we operate continue to evolve and may expand, diverge or be applied in new ways. Changes in rules, regulatory interpretations or enforcement priorities could increase our compliance and reporting costs, require changes to our governance and reporting practices, and place additional demands on our personnel, systems, and controls. Compliance may also limit operational flexibility or make certain activities more time-consuming or costly.</w:t>
      </w:r>
    </w:p>
    <w:p>
      <w:pPr>
        <w:spacing w:after="0" w:line="139" w:lineRule="exact"/>
        <w:rPr>
          <w:sz w:val="20"/>
          <w:szCs w:val="20"/>
          <w:color w:val="auto"/>
        </w:rPr>
      </w:pPr>
    </w:p>
    <w:p>
      <w:pPr>
        <w:jc w:val="both"/>
        <w:ind w:right="220" w:firstLine="374"/>
        <w:spacing w:after="0" w:line="261" w:lineRule="auto"/>
        <w:rPr>
          <w:sz w:val="20"/>
          <w:szCs w:val="20"/>
          <w:color w:val="auto"/>
        </w:rPr>
      </w:pPr>
      <w:r>
        <w:rPr>
          <w:rFonts w:ascii="Times New Roman" w:cs="Times New Roman" w:eastAsia="Times New Roman" w:hAnsi="Times New Roman"/>
          <w:sz w:val="18"/>
          <w:szCs w:val="18"/>
          <w:color w:val="auto"/>
        </w:rPr>
        <w:t>If we do not comply with applicable requirements, or if regulators take a different view of our compliance efforts, we could be subject to inquiries, investigations, enforcement actions, penalties or litigation, and we could incur significant costs responding to such matters. Any of these outcomes could harm our reputation, divert management time, and adversely affect our results of operations and financial condition, as well as the market price, liquidity and volatility of our ADSs.</w:t>
      </w:r>
    </w:p>
    <w:p>
      <w:pPr>
        <w:spacing w:after="0" w:line="149"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ADSs or ordinary shares, such person may be subject to adverse United States federal income tax consequences.</w:t>
      </w:r>
    </w:p>
    <w:p>
      <w:pPr>
        <w:spacing w:after="0" w:line="118" w:lineRule="exact"/>
        <w:rPr>
          <w:sz w:val="20"/>
          <w:szCs w:val="20"/>
          <w:color w:val="auto"/>
        </w:rPr>
      </w:pPr>
    </w:p>
    <w:p>
      <w:pPr>
        <w:jc w:val="both"/>
        <w:ind w:right="20" w:firstLine="374"/>
        <w:spacing w:after="0" w:line="257"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our ADSs or ordinary shares, such person may be treated as a “United States shareholder” with respect to each “controlled foreign corporation,” or CFC, in our group. In general, a non-United States corporation could be treated as a CFC if more than 50 percent of its voting power or value is owned by United States shareholders.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Because our group includes one or more United States subsidiaries that are corporations for United States federal income tax purposes, in certain circumstances, we could be treated as a CFC and certain of our non-United States subsidiary corporations could be treated as CFCs (regardless of whether or not we are treated as a CFC).</w:t>
      </w:r>
    </w:p>
    <w:p>
      <w:pPr>
        <w:spacing w:after="0" w:line="145"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A United States shareholder of a CFC may be required to annually report and include in its United States taxable income its pro rata share of “subpart F income,” “global intangible low-taxed income” and investments in United States property by CFCs, whether or not we make any distributions. An individual who is a United States shareholder with respect to a CFC generally would not be allowed certain tax deductions or foreign tax credits that would be allowed to a corporation that is a United States shareholder. Furthermore, even if there is no entity within our group that is treated as a CFC, certain United States shareholders may still incur reporting obligations on certain foreign corporations under specific circumstances. A failure to comply with these reporting obligations may subject a United States shareholder to significant monetary penalties and may prevent the starting of the statute of limitations with respect to such shareholder’s United States federal income tax return for the year for which reporting was due. We do not intend to monitor whether we are or any of our non-United States subsidiaries is treated as a CFC or whether any investor is treated as a United States shareholder with respect to us or any of our CFC subsidiaries or to furnish to any United States shareholders information that may be necessary to comply with the aforementioned reporting and tax paying obligations. A United States investor should consult its tax advisor regarding the potential application of these rules to its particular circumstances.</w:t>
      </w:r>
    </w:p>
    <w:p>
      <w:pPr>
        <w:spacing w:after="0" w:line="16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United States federal income tax consequences to United States Holders of our ADSs or ordinary shares.</w:t>
      </w:r>
    </w:p>
    <w:p>
      <w:pPr>
        <w:spacing w:after="0" w:line="118"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We will be a passive foreign investment company, or PFIC, for United States federal income tax purposes for any taxable year if, applying applicable look-through rules, either (i) at least 75% of our gross income for such year is passive income or (ii) at least 50% of the value of our assets (generally determined based on an average of the quarterly values of the assets) during such year is attributable to assets that produce or are held for the production of passive income. A separate determination must be made after the close of each taxable year as to whether we are a PFIC for that year and involves extensive factual investigation, including ascertaining the fair market value of all of our assets on a quarterly basis and the character of each item of income that we earn, and is subject to uncertainty in several respects. Based on the market price of our ADSs, the value of our assets and the nature and composition of our income and assets, we do not believe that we were a PFIC for United States federal income tax purposes for our taxable year ended December 31, 2025, and we do not expect to become a PFIC for our current taxable year, although there can be no assurances in this regard. Moreover, we cannot assure you that the United States Internal Revenue Service, or the IRS, will agree with any position that we take. Accordingly, there can be no assurance that we will not be treated as a PFIC for any taxable year or that the IRS will not take a position contrary to any position that we take.</w:t>
      </w:r>
    </w:p>
    <w:p>
      <w:pPr>
        <w:spacing w:after="0" w:line="154"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Changes in the nature or composition of our income or assets, including as a result of our investment in new businesses, products, services and technologies, may cause us to be or become a PFIC. In addition, the determination of whether we will be a PFIC for any taxable year may also depend in part upon the value of our goodwill and other unrecorded intangibles not reflected on our balance sheet (which may depend upon the market price of our ADSs or ordinary shares from time to time, which may fluctuate significantly) and also may be affected by if, how, and how quickly, we spend our liquid assets and the cash we generate from our operations and</w:t>
      </w:r>
    </w:p>
    <w:p>
      <w:pPr>
        <w:sectPr>
          <w:pgSz w:w="11900" w:h="16838" w:orient="portrait"/>
          <w:cols w:equalWidth="0" w:num="1">
            <w:col w:w="11240"/>
          </w:cols>
          <w:pgMar w:left="320" w:top="256" w:right="339"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raise in any offering. In estimating the value of our goodwill and other unrecorded intangibles, we have taken into account our market capitalization. Among other matters, if our market capitalization declines, we may be or become a PFIC for the current or future taxable years because our liquid assets and cash (which are for this purpose considered assets that produce passive income) may then represent a greater percentage of the value of our overall assets. Further, while we believe our classification methodology and valuation approach are reasonable, it is possible that the IRS may challenge our classification or valuation of our goodwill and other unrecorded intangibles, which may result in our being or becoming a PFIC for our taxable year ended December 31, 2025, the current taxable year or one or more future taxable years.</w:t>
      </w:r>
    </w:p>
    <w:p>
      <w:pPr>
        <w:spacing w:after="0" w:line="160"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United States Holder (as defined in “Item 10. Additional Information—E. Taxation—United States Federal Income Tax Considerations”) holds our ADSs or ordinary shares, certain adverse United States federal income tax consequences would generally apply to such United States Holder. See “Item 10. Additional Information—E. Taxation—United States Federal Income Tax Considerations— Passive Foreign Investment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organizational documents may discourage or delay a change of control.</w:t>
      </w:r>
    </w:p>
    <w:p>
      <w:pPr>
        <w:spacing w:after="0" w:line="189"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contain provisions that could discourage, delay, or prevent a change of control of our company. These provisions may deprive shareholders of the opportunity to sell their shares at a premium by deterring third parties from pursuing a tender offer or other change-of-control transaction.</w:t>
      </w:r>
    </w:p>
    <w:p>
      <w:pPr>
        <w:spacing w:after="0" w:line="14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For example, our Board of Directors is authorized, without shareholder approval, to issue preferred shares in one or more series and to determine their terms, including voting rights, dividend rights, conversion rights, redemption provisions, and liquidation preferences, which could be senior to the rights of our ordinary shares. Such preferred shares could be issued quickly and with terms designed to make a change of control or the removal of management more difficult.</w:t>
      </w:r>
    </w:p>
    <w:p>
      <w:pPr>
        <w:spacing w:after="0" w:line="139"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Any issuance of preferred shares could adversely affect the market price of our ADSs and materially dilute or otherwise negatively impact the voting and economic rights of holders of our ordinary shares and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under Cayman Islands law may be more limited than under U.S. law.</w:t>
      </w:r>
    </w:p>
    <w:p>
      <w:pPr>
        <w:spacing w:after="0" w:line="202"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Our corporate affairs are governed by Cayman Islands law and our memorandum and articles of association. The rights of shareholders, the fiduciary duties of directors, and the ability of shareholders to bring actions against directors or the company are governed largely by Cayman Islands common law, which is based on a more limited body of judicial precedent than exists in jurisdictions such as the United States.</w:t>
      </w:r>
    </w:p>
    <w:p>
      <w:pPr>
        <w:spacing w:after="0" w:line="13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result, shareholder rights and remedies under Cayman Islands law may be less clearly established or more limited than those available under U.S. federal or state law. In particular, the Cayman Islands has a less developed body of securities law, and Cayman Islands companies may not have standing to bring shareholder derivative actions in U.S. federal courts.</w:t>
      </w:r>
    </w:p>
    <w:p>
      <w:pPr>
        <w:spacing w:after="0" w:line="135"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In addition, shareholders of Cayman Islands exempted companies generally do not have broad statutory rights to inspect corporate records or obtain shareholder lists. Our directors have discretion under our organizational documents to determine whether and under what conditions corporate records may be made available to shareholders. These limitations may make it more difficult for shareholders to obtain information necessary to exercise their rights or to pursue shareholder actions, including proxy contests.</w:t>
      </w:r>
    </w:p>
    <w:p>
      <w:pPr>
        <w:spacing w:after="0" w:line="153"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We also rely on certain corporate governance exemptions available to foreign private issuers and controlled companies under Nasdaq rules, as described in “Item 16G. Corporate Governance.” As a result, our shareholders may have fewer or different protections than shareholders of U.S. domestic issuers.</w:t>
      </w:r>
    </w:p>
    <w:p>
      <w:pPr>
        <w:spacing w:after="0" w:line="135" w:lineRule="exact"/>
        <w:rPr>
          <w:sz w:val="20"/>
          <w:szCs w:val="20"/>
          <w:color w:val="auto"/>
        </w:rPr>
      </w:pPr>
    </w:p>
    <w:p>
      <w:pPr>
        <w:ind w:right="660" w:firstLine="374"/>
        <w:spacing w:after="0" w:line="282" w:lineRule="auto"/>
        <w:rPr>
          <w:sz w:val="20"/>
          <w:szCs w:val="20"/>
          <w:color w:val="auto"/>
        </w:rPr>
      </w:pPr>
      <w:r>
        <w:rPr>
          <w:rFonts w:ascii="Times New Roman" w:cs="Times New Roman" w:eastAsia="Times New Roman" w:hAnsi="Times New Roman"/>
          <w:sz w:val="18"/>
          <w:szCs w:val="18"/>
          <w:color w:val="auto"/>
        </w:rPr>
        <w:t>Accordingly, holders of our ADSs and ordinary shares may face greater difficulty in protecting their interests than shareholders of companies incorporated in jurisdictions with more developed shareholder protections, including the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or impossible to enforce U.S. judgments against us or our directors and officers.</w:t>
      </w:r>
    </w:p>
    <w:p>
      <w:pPr>
        <w:spacing w:after="0" w:line="202"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We are a Cayman Islands exempted company, and most of our assets and operations are located outside the United States. In addition, most of our directors and officers are non-U.S. nationals or residents, and substantially all of their assets are located outside the United States.</w:t>
      </w:r>
    </w:p>
    <w:p>
      <w:pPr>
        <w:spacing w:after="0" w:line="121"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As a result, it may be difficult or impracticable for investors to bring actions against us or these individuals in U.S. courts, or to enforce judgments obtained under U.S. federal securities laws or otherwise. Even if a U.S. court judgment is obtained, enforcement against our assets or the assets of our directors and officers may be limited or unavailable under the laws of the Cayman Islands, Norway, or other jurisdictions.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foreign private issuer, we may rely on home country corporate governance practices that differ from Nasdaq standards.</w:t>
      </w:r>
    </w:p>
    <w:p>
      <w:pPr>
        <w:spacing w:after="0" w:line="202" w:lineRule="exact"/>
        <w:rPr>
          <w:sz w:val="20"/>
          <w:szCs w:val="20"/>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As a foreign private issuer listed on the Nasdaq Global Select Market, we are permitted to follow certain corporate governance practices of our home country in lieu of Nasdaq corporate governance standards that apply to U.S. domestic issuers. Corporate governance practices in the Cayman Islands differ in certain respects from Nasdaq standards, including with respect to board independence and committee composition.</w:t>
      </w:r>
    </w:p>
    <w:p>
      <w:pPr>
        <w:spacing w:after="0" w:line="135"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We currently rely on certain of these exemptions, as described in “Item 16G. Corporate Governance” of this annual report, and may elect to rely on additional exemptions in the future. As a result, our shareholders may be afforded fewer or different corporate governance protections than shareholders of companies subject to all Nasdaq corporate governance standards.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status as a foreign private issuer results in different disclosure and governance requirements</w:t>
      </w:r>
    </w:p>
    <w:p>
      <w:pPr>
        <w:spacing w:after="0" w:line="202"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We currently qualify as a foreign private issuer under U.S. securities laws and, as a result, are exempt from certain U.S. securities law requirements that apply to U.S. domestic issuers. These exemptions include, among others, the requirements to file quarterly reports on Form 10-Q or current reports on Form 8-K, compliance with U.S. proxy solicitation rules, and the requirement to prepare financial statements in accordance with U.S. GAAP. Instead of filing periodic reports on Forms 10-Q and 8-K, we file an annual report on Form 20-F and furnish reports on Form 6-K. As a result, the information we provide to investors may be less extensive or less timely than that provided by U.S. domestic issuers, and investors may not be afforded the same protections available to investors in U.S. domestic public companies.</w:t>
      </w:r>
    </w:p>
    <w:p>
      <w:pPr>
        <w:spacing w:after="0" w:line="14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Historically, our directors, officers, and principal shareholders were also exempt from the insider reporting and short-swing profit recovery provisions of Section 16 of the Exchange Act. Effective March 18, 2026, however, directors and officers of foreign private issuers became subject to the insider reporting requirements of Section 16(a) of the Exchange Act. As a result, our directors and officers are required to publicly report their beneficial ownership of, and transactions in, our equity securities, and we have incurred additional compliance and administrative obligations in connection with these requirements. Our directors and officers remain exempt from the short-swing profit recovery provisions of Section 16(b) and the short-sale prohibitions of Section 16(c), and shareholders who beneficially own more than 10% of our shares (and who are not also directors or officers) remain exempt from Section 16 in its entirety.</w:t>
      </w:r>
    </w:p>
    <w:p>
      <w:pPr>
        <w:spacing w:after="0" w:line="148"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June 2025, the SEC issued a concept release seeking public comment on whether the definition of a foreign private issuer should be narrowed. The SEC is considering changes that could include lowering ownership or business-contacts thresholds, requiring that a portion of trading occur outside the United States, or subjecting foreign private issuers to more extensive U.S. or home-country regulatory oversight. If such changes were adopted and applied to us, whether immediately or following any transition period, we could lose our foreign private issuer status. As a Cayman Islands–incorporated company, majority-controlled by a PRC-based parent and listed exclusively on Nasdaq, we could be particularly affected. Loss of our foreign private issuer status would require us to comply with the full reporting, governance, and disclosure obligations applicable to U.S. domestic issuers, including more frequent SEC filings, compliance with U.S. proxy rules, and the preparation of financial statements in accordance with U.S. GAAP. These changes would significantly increase our compliance costs, place additional demands on management and resources, and could adversely affect our business and the trading price of our ADSs.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have limited ability to exercise voting rights with respect to the underlying ordinary shares.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 holder of ADSs, you may exercise voting rights with respect to the underlying ordinary shares only in accordance with the deposit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do not have the right to vote the underlying shares directly unless you first withdraw the shares from the ADS facility.</w:t>
      </w:r>
    </w:p>
    <w:p>
      <w:pPr>
        <w:spacing w:after="0" w:line="166" w:lineRule="exact"/>
        <w:rPr>
          <w:sz w:val="20"/>
          <w:szCs w:val="20"/>
          <w:color w:val="auto"/>
        </w:rPr>
      </w:pPr>
    </w:p>
    <w:p>
      <w:pPr>
        <w:jc w:val="both"/>
        <w:ind w:right="120" w:firstLine="374"/>
        <w:spacing w:after="0" w:line="266" w:lineRule="auto"/>
        <w:rPr>
          <w:sz w:val="20"/>
          <w:szCs w:val="20"/>
          <w:color w:val="auto"/>
        </w:rPr>
      </w:pPr>
      <w:r>
        <w:rPr>
          <w:rFonts w:ascii="Times New Roman" w:cs="Times New Roman" w:eastAsia="Times New Roman" w:hAnsi="Times New Roman"/>
          <w:sz w:val="18"/>
          <w:szCs w:val="18"/>
          <w:color w:val="auto"/>
        </w:rPr>
        <w:t>Under the deposit agreement, you may vote by timely providing voting instructions to the depositary. The depositary will seek to vote the underlying ordinary shares in accordance with those instructions, but is not responsible for any failure to do so or for the manner in which the instructions are carried out. If we do not request voting instructions, the depositary may not vote the shares at all.</w:t>
      </w:r>
    </w:p>
    <w:p>
      <w:pPr>
        <w:spacing w:after="0" w:line="149"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In addition, under our amended and restated memorandum and articles of association, general meetings may be convened on as little as seven days’ notice. As a result, you may not receive notice of a meeting or voting materials with sufficient time to submit voting instructions to the depositary or to withdraw the underlying shares in order to vote directly. Accordingly, you may be unable to exercise your voting rights, and you may have limited or no legal remedies if the shares underlying your ADSs are not voted as you requested.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may be required to resolve claims without a jury trial.</w:t>
      </w:r>
    </w:p>
    <w:p>
      <w:pPr>
        <w:spacing w:after="0" w:line="18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deposit agreement governing our ADSs provides that, to the fullest extent permitted by law, ADS holders waive the right to a jury trial for claims against us or the depositary arising out of or relating to our ordinary shares, the ADSs, or the deposit agreement, including claims under the U.S. federal securities laws.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If a claim is brought and we or the depositary seek to enforce this waiver, a court would determine the waiver’s enforceability based on the facts, circumstances and applicable law. To our knowledge, the enforceability of pre-dispute jury trial waivers in connection with federal securities law claims has not been definitively resolved by the U.S. Supreme Court. If the waiver is enforced, claims may be heard by a judge rather than a jury, which could affect the procedures and outcomes of such proceedings and may be less favorable to plaintiffs.</w:t>
      </w:r>
    </w:p>
    <w:p>
      <w:pPr>
        <w:spacing w:after="0" w:line="153"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If the waiver is found to be unenforceable under applicable law, a claim could proceed with a jury trial. Nothing in the deposit agreement or the ADSs waives compliance with any substantive provision of the U.S. federal securities laws or the rules and regulations thereunder.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 holders may not receive certain distributions or be able to participate in rights offerings.</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depositary has agreed to pay ADS holders the cash dividends or other distributions it receives on the underlying ordinary shares, after deducting fees and expenses. However, the depositary is not required to make any distribution that it determines is illegal or impractical. For example, if a distribution consists of securities that require registration under the U.S. Securities Act, the depositary will not distribute them unless they are registered or an exemption applies. Similarly, the depositary may withhold distributions of property if it determines that mailing such property is not feasible or that the costs exceed the property’s value.</w:t>
      </w:r>
    </w:p>
    <w:p>
      <w:pPr>
        <w:spacing w:after="0" w:line="156"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are under no obligation to register any securities under U.S. securities laws or to take any action to permit the distribution of such securities, rights, or other property to ADS holders. This lack of obligation applies specifically to rights offerings; if we distribute rights to acquire securities, the depositary may allow those rights to lapse or attempt to sell them for the benefit of ADS holders if registration is not practicable. Consequently, you may not receive the full value of certain distributions made to direct shareholders and may experience dilution of your holdings. These restrictions could cause a material decline in the value of the ADSs.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85"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History and Development of the Company</w:t>
      </w:r>
    </w:p>
    <w:p>
      <w:pPr>
        <w:spacing w:after="0" w:line="202" w:lineRule="exact"/>
        <w:rPr>
          <w:sz w:val="20"/>
          <w:szCs w:val="20"/>
          <w:color w:val="auto"/>
        </w:rPr>
      </w:pPr>
    </w:p>
    <w:p>
      <w:pPr>
        <w:ind w:right="500" w:firstLine="374"/>
        <w:spacing w:after="0" w:line="282" w:lineRule="auto"/>
        <w:rPr>
          <w:sz w:val="20"/>
          <w:szCs w:val="20"/>
          <w:color w:val="auto"/>
        </w:rPr>
      </w:pPr>
      <w:r>
        <w:rPr>
          <w:rFonts w:ascii="Times New Roman" w:cs="Times New Roman" w:eastAsia="Times New Roman" w:hAnsi="Times New Roman"/>
          <w:sz w:val="18"/>
          <w:szCs w:val="18"/>
          <w:color w:val="auto"/>
        </w:rPr>
        <w:t>We trace our history to 1996, when the first version of the Opera-branded web browser was launched. Since that time, we have been focused on developing consumer internet products centered on web browsing, content discovery and related services for a global user base.</w:t>
      </w:r>
    </w:p>
    <w:p>
      <w:pPr>
        <w:spacing w:after="0" w:line="121"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Opera Limited is an exempted company with limited liability incorporated in March 2018 in the Cayman Islands. Opera Limited is a holding company with no substantive operations of its own, and our principal operations are conducted through our subsidiaries, including in particular Opera Norway AS, a private limited liability company incorporated under the laws of Norway. We acquired Opera Norway AS and its subsidiaries in November 2016, which included the business of developing and distributing Opera’s mobile and PC web browsers and certain related products and services.</w:t>
      </w:r>
    </w:p>
    <w:p>
      <w:pPr>
        <w:spacing w:after="0" w:line="13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Vitaminveien 4, 0485 Oslo, Norway, and our telephone number is +47 23 69 24 00. Our principal website is www.opera.com. Information contained on, or accessible through, our website is not part of, or incorporated by reference into this annual report. Our agent for U.S. federal securities law purposes is Cogency Global Inc, 122 East 42nd Street, 18th Floor, New York, NY 10168.</w:t>
      </w:r>
    </w:p>
    <w:p>
      <w:pPr>
        <w:spacing w:after="0" w:line="14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under the symbol “OPRA” since July 27, 2018. We completed our initial public offering in August 2018 and a follow-on public offering in September 2019. In October 2023, a pre-IPO shareholder completed a secondary public offering of ADSs, from which we did not receive any proceeds.</w:t>
      </w:r>
    </w:p>
    <w:p>
      <w:pPr>
        <w:spacing w:after="0" w:line="135"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On December 6, 2024, we effected a one-for-two consolidation of our ordinary shares approved by shareholders on December 3, 2024. Concurrently, the ratio of ordinary shares to ADSs was changed from two-to-one (2:1) to one-to-one (1:1). Following the share consolidation, our authorized share capital is $50,000 divided into 250,000,000 ordinary shares with a par value of $0.0002 per share. As of the date of this annual report, 89,880,513 ordinary shares were outstanding.</w:t>
      </w:r>
    </w:p>
    <w:p>
      <w:pPr>
        <w:spacing w:after="0" w:line="13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and other information filed electronically with the SEC through its EDGAR system. Our annual report and other filings are available on this website and on our investor relations website at investor.opera.com. Information contained on, or accessible through, our investor relations website is not part of, or incorporated by reference into this annual report. See “Item 10. Additional Information—H. Documents on Display” for further information.</w:t>
      </w:r>
    </w:p>
    <w:p>
      <w:pPr>
        <w:spacing w:after="0" w:line="149"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Opera is a global pioneer in consumer internet software, providing a diversified portfolio of high-performance web browsers and adjacent digital services to our large and engaged user base of over 284 million average MAUs in the fourth quarter of 2025. Founded in 1995 and headquartered in Oslo, Norway, we have transitioned from browser developer to multi-faceted platform offering a range of products and services that include PC and mobile browsers, our Opera Gaming portals and development tools, Opera News content platforms, Opera Ads platform, as well as a number of AI and web3 products and services, such as MiniPay and Opera AI, to a global</w:t>
      </w:r>
    </w:p>
    <w:p>
      <w:pPr>
        <w:sectPr>
          <w:pgSz w:w="11900" w:h="16838" w:orient="portrait"/>
          <w:cols w:equalWidth="0" w:num="1">
            <w:col w:w="11240"/>
          </w:cols>
          <w:pgMar w:left="320" w:top="256"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 base.</w:t>
      </w:r>
    </w:p>
    <w:p>
      <w:pPr>
        <w:spacing w:after="0" w:line="198"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Opera launched one of the first PC browsers in 1996 and introduced the world’s first full web browser for mobile phones in 2002. Since then, Opera has remained an innovator in the browser space, launching features including tabbed browsing, data savings, PC-mobile data sync, and numerous features focused on privacy and security, including ad blocking and a built-in VPN. We provide a unique variety of carefully tailored browsers, made for consumers who seek an alternative to those provided as default on their devices. Our browsers had approximately 258 million average MAUs in the fourth quarter of 2025. We differentiate ourselves by delivering purpose-built browser experiences that integrate features like native AI assistants, built-in VPNs, and gaming-centric optimizations directly into the interface for both desktop and mobile platforms, reducing user reliance on third-party extensions and creating a higher barrier-to-entry ecosystem.</w:t>
      </w:r>
    </w:p>
    <w:p>
      <w:pPr>
        <w:spacing w:after="0" w:line="148"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The browser is an increasingly strategic application—often serving as the access point for content, e-commerce, AI, gaming and fintech activities on the internet, and Opera is utilizing this strategic position to launch and scale new products and offerings.</w:t>
      </w:r>
    </w:p>
    <w:p>
      <w:pPr>
        <w:spacing w:after="0" w:line="12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operating model is built upon a high-engagement distribution layer—our browsers—which provides the foundation for our integrated monetization engine. We generate revenue primarily through search distribution and partner monetization, digital advertising via our proprietary Opera Ads platform, and emerging product-led initiatives such as content and web3 services.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Users</w:t>
      </w:r>
    </w:p>
    <w:p>
      <w:pPr>
        <w:spacing w:after="0" w:line="189"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It all starts with the browser, the on-ramp to users’ online and AI experiences. We leverage the browser to expand our digital advertising business, Opera Ads, and as a launch pad for additional services, including Opera Gaming, Opera News and our web3 offerings.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Browsers</w:t>
      </w:r>
    </w:p>
    <w:p>
      <w:pPr>
        <w:spacing w:after="0" w:line="200"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Our browser family serves as the core distribution and engagement layer for our entire ecosystem. We provide a suite of specialized browsers, including our flagship Opera One browser, which features a modular design and Opera AI, our native browser AI. For the gaming community, Opera GX provides a distinctive and customizable aesthetic along with unique hardware optimizers and integrations to reach a high-value, highly engaged demographic. Opera One and Opera GX are available on a wide variety of platforms including desktop computers, Android and iOS devices. Opera Air, which was introduced in 2025, targets users seeking a mindfulness experience, with neural beats to promote focus and imagination. In late 2025, we introduced Opera Neon, a premium, subscription-based agentic AI browser designed for productivity-oriented users, which automates complex web-based tasks. Over time, we plan to introduce some of the innovations we develop for Opera Neon to Opera AI, and with that, to our full suite of browsers. In mobile-first markets, Opera Mini remains a critical tool for data-conscious users due to its proprietary compression technology.</w:t>
      </w:r>
    </w:p>
    <w:p>
      <w:pPr>
        <w:spacing w:after="0" w:line="151"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The primary value proposition of our browsers is to provide a faster, more secure, and highly personalized gateway to the internet that exceeds the capabilities of standard pre-installed browsers. We distribute these products primarily through direct downloads on PC and major app stores on mobile. In the fourth quarter of 2025, the total MAUs of our browsers reached an average of approximately 258 million, with Opera GX contributing 34 million MAUs.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Platform</w:t>
      </w:r>
    </w:p>
    <w:p>
      <w:pPr>
        <w:spacing w:after="0" w:line="200"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Opera Ads is our proprietary advertising ecosystem that connects advertisers with our massive audience reach across both owned-and-operated surfaces and partner inventory. It supports a wide array of formats, including native, video, and e-commerce-specific placements. The platform serves as a critical link between our user engagement and revenue, allowing us to monetize user discovery and intent. As an internet company focused on browsers, we can leverage the closed-loop environment of the browser to capture interest, context and intent. We are able to create value and utility for the user throughout their online journey, unlike many advertising platforms which rely on third-party signals and cookies. With the growth of high value users and the scale of our audience extension offering, we are becoming an increasingly relevant partner for advertisers.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 Gaming</w:t>
      </w:r>
    </w:p>
    <w:p>
      <w:pPr>
        <w:spacing w:after="0" w:line="187"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Building on the success of Opera GX, Opera has developed a community of gamers and game creators. This included creating the Opera Gaming division that provides GameMaker, a 2D gaming development platform. The focus of Opera Gaming is to continue to grow the user base of Opera GX and build increased functionality within and outside the Opera GX browser, using GameMaker. GameMaker provides game creators with a complete set of tools to create games for any platform.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 News</w:t>
      </w:r>
    </w:p>
    <w:p>
      <w:pPr>
        <w:spacing w:after="0" w:line="187"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Leveraging our user base and innovation capability, we launched the Opera News service in January 2017. Opera News is our personalized news discovery and aggregation service. The service is featured prominently as part of our browsers, and also made available as a standalone app and website. These apps operate under both the Opera News and Apex brands. By providing AI-powered</w:t>
      </w:r>
    </w:p>
    <w:p>
      <w:pPr>
        <w:sectPr>
          <w:pgSz w:w="11900" w:h="16838" w:orient="portrait"/>
          <w:cols w:equalWidth="0" w:num="1">
            <w:col w:w="11240"/>
          </w:cols>
          <w:pgMar w:left="320" w:top="256"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and content recommendations, we have increased both user activity and the amount of time users spend in our ecosystem.</w:t>
      </w:r>
    </w:p>
    <w:p>
      <w:pPr>
        <w:spacing w:after="0" w:line="198"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Opera News curates and intelligently recommends news, articles, videos and other online content that may be of interest to each individual user. Users can conveniently access this content through real-time intelligent ranking, top news and push notification features. When using a product powered by our recommendation engine, people can efficiently discover, engage with and share online content that appeals to them. Our Opera News content platform reached an average audience of approximately 40 million MAUs in the fourth quarter of 2025 through Opera browsers, our dedicated Opera News apps, websites, and partner integrations.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Web3</w:t>
      </w:r>
    </w:p>
    <w:p>
      <w:pPr>
        <w:spacing w:after="0" w:line="187"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Our web3 efforts are spearheaded by MiniPay, a self-custodial stablecoin wallet initially integrated directly into our mobile browsers and now available as a standalone app for Android and iOS users. MiniPay is positioned as a lightweight solution for emerging markets, allowing users to send, receive, and save digital dollars using a phone number as an identifier. Built on the Celo blockchain, MiniPay facilitates peer-to-peer transactions at low or de minimis cost and supports cUSD, USDC, USDT and Tether Gold. MiniPay has experienced rapid growth, reaching approximately 14 million activated wallets and 420 million cumulative transactions by March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Users</w:t>
      </w:r>
    </w:p>
    <w:p>
      <w:pPr>
        <w:spacing w:after="0" w:line="187"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 the fourth quarter of 2025, our total MAUs reached an average of approximately 284 million, of which approximately 86 million were PC users and 198 million were mobile users. Our strategy continues to focus on shifting our user mix toward high-ARPU developed markets, which has successfully driven our annualized ARPU to $2.49 in the fourth quarter of 2025. For more information about our users, see “Item 5. Operating and Financial Review and Prospects—A. Operating Results—User Metrics.” Our total monthly advertising reach, including both active users of our applications, other users of our content portals, as well as individuals served by our Opera Ads audience extension, exceeded over half a billion by December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Partners</w:t>
      </w:r>
    </w:p>
    <w:p>
      <w:pPr>
        <w:spacing w:after="0" w:line="202" w:lineRule="exact"/>
        <w:rPr>
          <w:sz w:val="20"/>
          <w:szCs w:val="20"/>
          <w:color w:val="auto"/>
        </w:rPr>
      </w:pPr>
    </w:p>
    <w:p>
      <w:pPr>
        <w:ind w:right="2000" w:firstLine="374"/>
        <w:spacing w:after="0" w:line="453" w:lineRule="auto"/>
        <w:rPr>
          <w:sz w:val="20"/>
          <w:szCs w:val="20"/>
          <w:color w:val="auto"/>
        </w:rPr>
      </w:pPr>
      <w:r>
        <w:rPr>
          <w:rFonts w:ascii="Times New Roman" w:cs="Times New Roman" w:eastAsia="Times New Roman" w:hAnsi="Times New Roman"/>
          <w:sz w:val="18"/>
          <w:szCs w:val="18"/>
          <w:color w:val="auto"/>
        </w:rPr>
        <w:t xml:space="preserve">Our revenue is primarily driven by performance advertising and strategic partnerships for intent-based query monetization. </w:t>
      </w:r>
      <w:r>
        <w:rPr>
          <w:rFonts w:ascii="Times New Roman" w:cs="Times New Roman" w:eastAsia="Times New Roman" w:hAnsi="Times New Roman"/>
          <w:sz w:val="18"/>
          <w:szCs w:val="18"/>
          <w:i w:val="1"/>
          <w:iCs w:val="1"/>
          <w:color w:val="auto"/>
        </w:rPr>
        <w:t>Advertising Revenue</w:t>
      </w:r>
    </w:p>
    <w:p>
      <w:pPr>
        <w:spacing w:after="0" w:line="2"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Our advertising revenue is generated from inventory on our apps and websites, as well as from inventory on third-party apps and websites. We work closely with large, global e-commerce and online travel agencies, as well as strong local brands globally. The value of these partnerships continues to rise through increased user engagement with these popular services within our browsers, as well as our audience extension offering. We earn revenue from transactions initiated by our directed users via links provided on our Speed Dial homepage and other advertisements, typically in the form of a defined share of the revenue generated by these service providers.</w:t>
      </w:r>
    </w:p>
    <w:p>
      <w:pPr>
        <w:spacing w:after="0" w:line="156"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We have established relationships with leading digital advertising platforms. We allow these digital advertising platforms to display their advertising demand in our browsers, content apps and websites where we recognize revenue based on the amounts we are entitled to receive from such advertising partners. We also sell selected premium advertising placements, such as full-screen banners, interstitials, videos, sponsored articles and notifications to global and local advertisers.</w:t>
      </w:r>
    </w:p>
    <w:p>
      <w:pPr>
        <w:spacing w:after="0" w:line="139" w:lineRule="exact"/>
        <w:rPr>
          <w:sz w:val="20"/>
          <w:szCs w:val="20"/>
          <w:color w:val="auto"/>
        </w:rPr>
      </w:pPr>
    </w:p>
    <w:p>
      <w:pPr>
        <w:ind w:right="360" w:firstLine="374"/>
        <w:spacing w:after="0" w:line="261" w:lineRule="auto"/>
        <w:rPr>
          <w:sz w:val="20"/>
          <w:szCs w:val="20"/>
          <w:color w:val="auto"/>
        </w:rPr>
      </w:pPr>
      <w:r>
        <w:rPr>
          <w:rFonts w:ascii="Times New Roman" w:cs="Times New Roman" w:eastAsia="Times New Roman" w:hAnsi="Times New Roman"/>
          <w:sz w:val="18"/>
          <w:szCs w:val="18"/>
          <w:color w:val="auto"/>
        </w:rPr>
        <w:t>Our Opera Ads platform has a large and continuous focus on audience extension and is able to seamlessly integrate with both Opera’s owned and operated inventory and selected premium partner inventories supplied by companies such as Google, AppLovin, Adtechnacity, Vungle and others. The Opera advertising platform caters to the world’s largest advertisers, brands, platforms, agencies, and e-commerce partners across the Americas, Asia, Europe, Africa, and the Middle East. A majority of our customers are operating within gaming, sports, and e-commerce verticals.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Query Revenue</w:t>
      </w:r>
    </w:p>
    <w:p>
      <w:pPr>
        <w:spacing w:after="0" w:line="200" w:lineRule="exact"/>
        <w:rPr>
          <w:sz w:val="20"/>
          <w:szCs w:val="20"/>
          <w:color w:val="auto"/>
        </w:rPr>
      </w:pPr>
    </w:p>
    <w:p>
      <w:pPr>
        <w:ind w:right="200" w:firstLine="374"/>
        <w:spacing w:after="0" w:line="289" w:lineRule="auto"/>
        <w:rPr>
          <w:sz w:val="20"/>
          <w:szCs w:val="20"/>
          <w:color w:val="auto"/>
        </w:rPr>
      </w:pPr>
      <w:r>
        <w:rPr>
          <w:rFonts w:ascii="Times New Roman" w:cs="Times New Roman" w:eastAsia="Times New Roman" w:hAnsi="Times New Roman"/>
          <w:sz w:val="17"/>
          <w:szCs w:val="17"/>
          <w:color w:val="auto"/>
        </w:rPr>
        <w:t>We partner with internet search providers such as Google and Yandex and have worked closely with them for over 25 and 15 years, respectively. These partnerships ensure a native integration of search technology for our users and enhance the visibility of our brand. We share the revenue generated by our search partners when our users initiate queries within the URL bar, default search page or search boxes embedded in our PC and mobile browsers.</w:t>
      </w:r>
    </w:p>
    <w:p>
      <w:pPr>
        <w:spacing w:after="0" w:line="117"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recently updated our reporting to reflect query revenue, which supplements traditional search revenue with newer intent based query monetization that is often AI targeted. Under this model, we earn revenue from a broader set of partners that we may promote in response to a user prompt within our browsers.</w:t>
      </w:r>
    </w:p>
    <w:p>
      <w:pPr>
        <w:spacing w:after="0" w:line="13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had a search distribution agreement with Google since 2001. We entered into our current search distribution agreement with Google in 2012 and have extended the term of that agreement multiple times, most recently until December 31, 2026 for markets outside of the U.S. We have entered into a separate search distribution agreement with Google for the U.S. market with a term</w:t>
      </w:r>
    </w:p>
    <w:p>
      <w:pPr>
        <w:sectPr>
          <w:pgSz w:w="11900" w:h="16838" w:orient="portrait"/>
          <w:cols w:equalWidth="0" w:num="1">
            <w:col w:w="11240"/>
          </w:cols>
          <w:pgMar w:left="320" w:top="256" w:right="339"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extending to January 31, 2027. We have had a search distribution agreement with Yandex since 2007. Effective January 1, 2025, we renewed our relationship with Yandex with a new three-year agreement with Yandex in UAE. Our agreements with Google and Yandex are subject to customary events of default, including failure to make payments, material breach, liquidation, as well as other termination trigger events as provided therein.</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relationship and cooperation with our search providers may be impacted by any material investigations and restructurings relating to these search providers. See “Item 3. Key Information—D. Risk Factors—Risks Related to Our Business, Strategy and Operating Environment—A substantial portion of our revenues is derived from users’ query activities within Opera browsers” of this annual report.</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3 to our consolidated financial statements included elsewhere in this annual report for a breakdown of revenue by activity and geography.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Marketing Channels</w:t>
      </w:r>
    </w:p>
    <w:p>
      <w:pPr>
        <w:spacing w:after="0" w:line="18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partner with ad agencies, influencers, game affiliation networks, device manufacturers, mobile network operators and others to promote and distribute our products. We have long-term relationships with device manufacturers to ensure cost-efficient and reliable distribution benefiting both these distribution partners and us. We partner with mobile network operators in Africa for joint marketing campaigns, including the provision of free or reduced cost browsing to the consumer for a limited time. In addition, we partner with game affiliation networks to promote Opera GX. We have also partnered with Riot Games to promote Opera GX as the official browser of the League of Legends World Championships.</w:t>
      </w:r>
    </w:p>
    <w:p>
      <w:pPr>
        <w:spacing w:after="0" w:line="156"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For the majority of our products and services, the main source of new users is brand awareness of our products and the “word-of-mouth” from our large user base. The trust and reliance that our users place in us is a key growth driver of our business, since prospective users that hear positive feedback from their friends and colleagues about our products and services are more likely to try them. We have run influencer marketing campaigns to raise awareness and gain trust and mind-share among key target demographics. We also run promotional campaigns around global events, such as sporting events, to further engage users and drive adoption.</w:t>
      </w:r>
    </w:p>
    <w:p>
      <w:pPr>
        <w:spacing w:after="0" w:line="143"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In 2025, organic installs were our most important channel for new user acquisition, representing approximately 83% of our new smartphone users. In parallel, we cooperate with industry partners to promote our products. In 2025, approximately 7% of new smartphone users originated from our paid online promotions.</w:t>
      </w:r>
    </w:p>
    <w:p>
      <w:pPr>
        <w:spacing w:after="0" w:line="135"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Our products are available through our official website, www.opera.com, as well as Google Play, Apple’s App Store, and other online distribution channels.</w:t>
      </w:r>
    </w:p>
    <w:p>
      <w:pPr>
        <w:spacing w:after="0" w:line="135"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Our go-to-market strategy for Opera Ads includes both a managed service for large-scale advertisers and a self-serve platform for small-to-medium enterprises, allowing us to scale our advertising reach across a diverse client base.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w:t>
      </w:r>
    </w:p>
    <w:p>
      <w:pPr>
        <w:spacing w:after="0" w:line="18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Technology is key to our success as it enables us to innovate, improve our users’ experience and operate our business more efficiently. We have a track record of pioneering functionalities that then become the new standard in the browsing world. Our technology team is composed of highly skilled engineers, computer scientists and technicians whose expertise spans a wide range of areas. As of December 31, 2025, we employed a team of approximately 444 engineering and data analytics personnel. These staff members engage in building our technology platforms and developing new Opera products and services, with our core browser and AI assisted browsing development located mainly in Poland and Sweden, and our other products developed mainly in Poland, China, Sweden and the United Kingdom.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&amp; Agentic Browsing</w:t>
      </w:r>
    </w:p>
    <w:p>
      <w:pPr>
        <w:spacing w:after="0" w:line="187"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Opera AI, formerly known as Aria, is a browsing AI based on our own Composer AI engine. Composer is LLM agnostic - meaning it uses multiple LLM models, including OpenAI’s GPT, Google’s Gemini, and self-hosted open source models like LLAMA. Composer selects the best model for the Opera AI user’s query. Composer also enables premium subscribers to select which model they wish to use.</w:t>
      </w:r>
    </w:p>
    <w:p>
      <w:pPr>
        <w:spacing w:after="0" w:line="135"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Our Composer engine architecture is fully modular and easily expandable, which allows access to multiple external data sources like weather as well as webpages on the Internet, and also allows Composer to integrate functionality like image and video generation and understanding, as well as voice generation and understanding. Composer can access, understand and generate many file formats including xls, ods, pdf, doc, mp3, mp4 and others. Composer is capable of tooling, grounding and embedding to drive new experiences, enabling Opera AI to make its own decisions, spin up virtual, cloud-hosted computers, first-research-then-build web applications, host and share content, and even compose a set of “researchers” — with a head researcher orchestrating the process.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Partly due to Composer’s multi LLM approach, our Opera Deep Research Agent achieved one of the best results in benchmark testing of AI researching agents on the market. Composer is a privacy-first AI engine, with keys managed by the client and the end-user.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Recommendation</w:t>
      </w:r>
    </w:p>
    <w:p>
      <w:pPr>
        <w:spacing w:after="0" w:line="187"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Our content discovery and recommendation platform provides our users with personalized news, audio, videos and other online content. We leverage our existing user base and cutting-edge technologies, such as LLMs and AIGC, to develop our AI-powered content discovery and a multi-scenario/multi-modal/multi-objective recommendation platform that we integrate into a variety of our products and services. Our content recommendation platform evaluates a large volume of potentially correlated data points between each item of online content and each individual user to provide personalized content recommendations of high interest to our users in real time.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Compression Technologies</w:t>
      </w:r>
    </w:p>
    <w:p>
      <w:pPr>
        <w:spacing w:after="0" w:line="200"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Our compression technologies are built into our apps to optimize data traffic and connection times for our users. These technologies allow our browsers to load web pages faster by downloading less data. Our Mini browser compresses web content by up to 90%, providing a good web browsing experience even on the most limited mobile data networks.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Network Infrastructure</w:t>
      </w:r>
    </w:p>
    <w:p>
      <w:pPr>
        <w:spacing w:after="0" w:line="187"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We operate a distributed network infrastructure designed to support our global operations. Our infrastructure consists of company-owned servers hosted in third-party data centers and integrated with cloud-based resources, enabling us to scale computing and storage capacity efficiently in response to changes in demand. We use automated provisioning and orchestration tools to manage capacity and support service availability across different devices, operating systems, carriers and network environments.</w:t>
      </w:r>
    </w:p>
    <w:p>
      <w:pPr>
        <w:spacing w:after="0" w:line="153"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As of December 31, 2025, we owned 5,388 servers in seven data centers located in the Netherlands (two locations), the United States, Canada, Nigeria, Iceland and Singapore, with a total connectivity bandwidth of approximately 1.54 Tbps max throughput and 360 Gbps daily peak. The data center in Iceland features an NVIDIA DGX SuperPOD with 248 H100 GPUs capable of delivering approximately 1 exaflops of FP8 AI performance, which serves as the basis for our expanding AI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Investments in Unconsolidated Entities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hold minority investments in the following entities:</w:t>
      </w:r>
    </w:p>
    <w:p>
      <w:pPr>
        <w:spacing w:after="0" w:line="194" w:lineRule="exact"/>
        <w:rPr>
          <w:sz w:val="20"/>
          <w:szCs w:val="20"/>
          <w:color w:val="auto"/>
        </w:rPr>
      </w:pPr>
    </w:p>
    <w:p>
      <w:pPr>
        <w:jc w:val="both"/>
        <w:ind w:left="760" w:hanging="378"/>
        <w:spacing w:after="0" w:line="26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OPay Ltd.</w:t>
      </w:r>
      <w:r>
        <w:rPr>
          <w:rFonts w:ascii="Times New Roman" w:cs="Times New Roman" w:eastAsia="Times New Roman" w:hAnsi="Times New Roman"/>
          <w:sz w:val="18"/>
          <w:szCs w:val="18"/>
          <w:color w:val="auto"/>
        </w:rPr>
        <w:t>, an investee in which we currently hold a 9.5% ownership interest, is a privately-held fintech company operating in emerging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across Africa and Asia. It provides digital financial services, including payments, transfers, savings and lending products, and offers point-of-sale services to agents and acquiring services to merchants.</w:t>
      </w:r>
    </w:p>
    <w:p>
      <w:pPr>
        <w:spacing w:after="0" w:line="130" w:lineRule="exact"/>
        <w:rPr>
          <w:rFonts w:ascii="Times New Roman" w:cs="Times New Roman" w:eastAsia="Times New Roman" w:hAnsi="Times New Roman"/>
          <w:sz w:val="18"/>
          <w:szCs w:val="18"/>
          <w:color w:val="auto"/>
        </w:rPr>
      </w:pPr>
    </w:p>
    <w:p>
      <w:pPr>
        <w:ind w:left="760" w:right="60" w:hanging="378"/>
        <w:spacing w:after="0" w:line="259"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MiniPay Fund, </w:t>
      </w:r>
      <w:r>
        <w:rPr>
          <w:rFonts w:ascii="Times New Roman" w:cs="Times New Roman" w:eastAsia="Times New Roman" w:hAnsi="Times New Roman"/>
          <w:sz w:val="18"/>
          <w:szCs w:val="18"/>
          <w:color w:val="auto"/>
        </w:rPr>
        <w:t>a venture fund managed by Verda Ventures established to invest in MiniPay ecosystem companies and projects, where 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of several investors, holding a 27.4% ownership interest as of December 31, 2025. MiniPay is our stablecoin-based, self-custodial wallet built on the Celo blockchain. We invested $1.25 million in this venture fund in 2024 and an additional $2.5 million in 2025. As of December 31, 2025, we had an outstanding capital commitment of $6.25 million. Our primary objective with the investment is to support the development and adoption of products and services around MiniPay, alongside other investors.</w:t>
      </w:r>
    </w:p>
    <w:p>
      <w:pPr>
        <w:spacing w:after="0" w:line="138" w:lineRule="exact"/>
        <w:rPr>
          <w:rFonts w:ascii="Times New Roman" w:cs="Times New Roman" w:eastAsia="Times New Roman" w:hAnsi="Times New Roman"/>
          <w:sz w:val="18"/>
          <w:szCs w:val="18"/>
          <w:color w:val="auto"/>
        </w:rPr>
      </w:pPr>
    </w:p>
    <w:p>
      <w:pPr>
        <w:ind w:left="760" w:right="60" w:hanging="378"/>
        <w:spacing w:after="0" w:line="26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nHorizon Innovation (Beijing) Software Ltd. </w:t>
      </w:r>
      <w:r>
        <w:rPr>
          <w:rFonts w:ascii="Times New Roman" w:cs="Times New Roman" w:eastAsia="Times New Roman" w:hAnsi="Times New Roman"/>
          <w:sz w:val="18"/>
          <w:szCs w:val="18"/>
          <w:color w:val="auto"/>
        </w:rPr>
        <w:t>(“nHorizon Innovation”) is an associate in which we have a 29.1% ownership interest.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generates income from providing technical and management services to nHorizon Infinite (Beijing) Software Limited (“nHorizon Infinite”). nHorizon Infinite, which was our joint venture until mid-2023, supports Chinese app developers in monetizing their apps internationally through advertising.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User Privacy and Safety</w:t>
      </w:r>
    </w:p>
    <w:p>
      <w:pPr>
        <w:spacing w:after="0" w:line="189" w:lineRule="exact"/>
        <w:rPr>
          <w:sz w:val="20"/>
          <w:szCs w:val="20"/>
          <w:color w:val="auto"/>
        </w:rPr>
      </w:pPr>
    </w:p>
    <w:p>
      <w:pPr>
        <w:jc w:val="both"/>
        <w:ind w:right="240" w:firstLine="374"/>
        <w:spacing w:after="0" w:line="261" w:lineRule="auto"/>
        <w:rPr>
          <w:sz w:val="20"/>
          <w:szCs w:val="20"/>
          <w:color w:val="auto"/>
        </w:rPr>
      </w:pPr>
      <w:r>
        <w:rPr>
          <w:rFonts w:ascii="Times New Roman" w:cs="Times New Roman" w:eastAsia="Times New Roman" w:hAnsi="Times New Roman"/>
          <w:sz w:val="18"/>
          <w:szCs w:val="18"/>
          <w:color w:val="auto"/>
        </w:rPr>
        <w:t>The vitality and integrity of our user base is the cornerstone of our business. We dedicate significant resources to the goal of strengthening our user base through developing and implementing programs designed to protect user privacy, promote a safe environment, and ensure the security of user data. We also implement unique features in our products and services to protect users’ online digital presence, such as a free, no-log VPN service, a premium, paid VPN service for enhanced protection, native ad blocking and anti-tracking options.</w:t>
      </w:r>
    </w:p>
    <w:p>
      <w:pPr>
        <w:spacing w:after="0" w:line="13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privacy statements seek to describe our data use practices and how privacy works on our platforms in a user-friendly manner. We provide users with adequate notice as to what data is being collected and undertake to manage and use the data collected in accordance with applicable laws. We consider the protection of the personal privacy of each of our users to be of paramount importance.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continuously strive to prevent unauthorized use, loss or leak of user data. In addition, we use a variety of technical and organizational measures to protect the data with which we are entrusted, including, for example, encryption of personal data, and web application firewalls to protect against potential attacks or unauthorized access. We have privacy and security teams dedicated to the ongoing review and monitoring of data protection practices, including penetration testing, auditing, and carrying out data privacy impact assessments.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We operate in highly competitive and rapidly evolving markets, including web browsers, digital advertising, content distribution, and digital wallets. Competition in these markets is intense, dynamic, and influenced by rapid technological change, shifting user behavior, and evolving regulatory and platform environments.</w:t>
      </w:r>
    </w:p>
    <w:p>
      <w:pPr>
        <w:spacing w:after="0" w:line="135"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For a detailed discussion of risks related to competition, see “Item 3. Key Information—D. Risk Factors—Risks Related to Our Business, Strategy and Operating Environment—We face intense competition across our products and services which could materially adversely affect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Strategy and Operating Environment—Our revenue and results of operations are subject to seasonal and other fluctuations.”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regard our patents, copyrights, service marks, trademarks, trade secrets and other intellectual properties as critical to our success. We rely on patents, trademarks, copyrights and trade secret protection, as well as non-competition, confidentiality, and license agreements with our employees, customers, partners and others to protect our intellectual property rights. Despite our precautions, it may be possible for third parties to unlawfully obtain and use our intellectual properties without authorization. Furthermore, the validity, enforceability and scope of protection of intellectual property rights in internet-related industries are uncertain and still evolving.</w:t>
      </w:r>
    </w:p>
    <w:p>
      <w:pPr>
        <w:spacing w:after="0" w:line="143"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we had active registrations or pending applications for our trademarks in over 90 countries and for our logos in over 80 countries. Opera has a patent portfolio that includes more than 20 patents issued in the United States as well as certain international patent registrations. In addition, as of December 31, 2025, we had hundreds of registered domain names related to our businesses.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Norwegian Regulations on Intellectual Property Rights</w:t>
      </w:r>
    </w:p>
    <w:p>
      <w:pPr>
        <w:spacing w:after="0" w:line="18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Norway adheres to key international agreements for the protection of intellectual property rights, hereunder the Paris Convention for the Protection of Industrial Property, Berne Convention, Universal Copyright Convention of 1952, the Rome Convention and the TRIPS agreement.</w:t>
      </w:r>
    </w:p>
    <w:p>
      <w:pPr>
        <w:spacing w:after="0" w:line="121"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The main acts governing intellectual property rights in Norway are the Patents Act of December 15, 1967, Designs Act of March 14, 2003, Trademarks Act of March 26, 2010, Copyrights Act of June 15, 2018, and Marketing Act of January 9, 2009. The Trade Secrets Act of March 27, 2020, protects trade secrets.</w:t>
      </w:r>
    </w:p>
    <w:p>
      <w:pPr>
        <w:spacing w:after="0" w:line="149"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Trademarks, designs and patents must be registered by applying to the Norwegian Industrial Property Office, or the NIPO, in order to be valid in Norway. Patent applications which have been granted at the European Patent Office can be validated in Norway by applying to the NIPO.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Data Protection and Information Security</w:t>
      </w:r>
    </w:p>
    <w:p>
      <w:pPr>
        <w:spacing w:after="0" w:line="18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The principal data protection legislation in Norway is the Personal Data Act of June 15, 2018, no. 38. The Personal Data Act implements 2016/679/EU - General Data Protection Regulation, or GDPR, in its entirety. The purpose of the act is to protect natural persons from violation of their right to privacy through the processing of personal data. Broadly speaking, the GDPR applies to the processing of personal data conducted by companies established in the European Economic Area, or EEA, and to the processing of personal data of data subjects in the EEA, where the processing is linked to offering services to such data subjects or monitoring their behavior.</w:t>
      </w:r>
    </w:p>
    <w:p>
      <w:pPr>
        <w:spacing w:after="0" w:line="156" w:lineRule="exact"/>
        <w:rPr>
          <w:sz w:val="20"/>
          <w:szCs w:val="20"/>
          <w:color w:val="auto"/>
        </w:rPr>
      </w:pPr>
    </w:p>
    <w:p>
      <w:pPr>
        <w:jc w:val="both"/>
        <w:ind w:right="180" w:firstLine="374"/>
        <w:spacing w:after="0" w:line="261" w:lineRule="auto"/>
        <w:rPr>
          <w:sz w:val="20"/>
          <w:szCs w:val="20"/>
          <w:color w:val="auto"/>
        </w:rPr>
      </w:pPr>
      <w:r>
        <w:rPr>
          <w:rFonts w:ascii="Times New Roman" w:cs="Times New Roman" w:eastAsia="Times New Roman" w:hAnsi="Times New Roman"/>
          <w:sz w:val="18"/>
          <w:szCs w:val="18"/>
          <w:color w:val="auto"/>
        </w:rPr>
        <w:t>A significant number of the users of our products are in the EEA and we also serve many of our users from our business establishments in Norway and Ireland, and consequently our processing of the personal data of such users is subject to the GDPR. Since the GDPR came into effect in 2018, courts and data protection authorities have enforced its requirements strictly and levied significant fines against various technology companies for violations. Decisions by such authorities, as well as guidance from the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European Data Protection Board have repeatedly emphasized that international transfers of personal data should be subject to heightened scrutiny. Furthermore, regulatory decisions and guidance, as well as related litigation, underscore that digital advertising and artificial intelligence are areas of particular attention for privacy authorities.</w:t>
      </w:r>
    </w:p>
    <w:p>
      <w:pPr>
        <w:spacing w:after="0" w:line="149" w:lineRule="exact"/>
        <w:rPr>
          <w:sz w:val="20"/>
          <w:szCs w:val="20"/>
          <w:color w:val="auto"/>
        </w:rPr>
      </w:pPr>
    </w:p>
    <w:p>
      <w:pPr>
        <w:ind w:right="300" w:firstLine="374"/>
        <w:spacing w:after="0" w:line="255" w:lineRule="auto"/>
        <w:rPr>
          <w:sz w:val="20"/>
          <w:szCs w:val="20"/>
          <w:color w:val="auto"/>
        </w:rPr>
      </w:pPr>
      <w:r>
        <w:rPr>
          <w:rFonts w:ascii="Times New Roman" w:cs="Times New Roman" w:eastAsia="Times New Roman" w:hAnsi="Times New Roman"/>
          <w:sz w:val="18"/>
          <w:szCs w:val="18"/>
          <w:color w:val="auto"/>
        </w:rPr>
        <w:t>The United States is also adopting new regulations related to data protection. For example, in 2024, the Protecting Americans’ Data from Foreign Adversaries Act of 2024 (PADFAA) was enacted in the United States. PADFAA prohibits “data brokers” from disclosing certain categories of personal data, defined as “personally identifiable sensitive data,” to foreign adversaries. Similarly, in 2025, the U.S. Department of Justice implemented a rule entitled “Preventing Access to U.S. Sensitive Personal Data and Government-Related Data by Countries of Concern or Covered Persons” (DOJ Rule) which prohibits U.S. companies from transferring certain classes of sensitive personal data of U.S. persons to foreign companies that are owned or controlled in designated countries, including China. Both the PADFAA legislation and the DOJ Rule could introduce uncertainties for parts of our advertising business, particularly regarding data-sharing dynamics with U.S. based partners.</w:t>
      </w:r>
    </w:p>
    <w:p>
      <w:pPr>
        <w:spacing w:after="0" w:line="148"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In recent years many additional jurisdictions, including Brazil, Kenya, Nigeria, India and China, have enacted or updated data privacy or data localization laws. Similarly, several states of the U.S. have passed or are debating their own privacy laws. The precise requirements of each law vary widely, though we see some general trends towards more regulatory oversight, especially of data-driven businesses like ours, and increased focus on service and data localization. We anticipate continued developments in data protection, privacy and data localization rules in various countries, which will continue to affect our business and impact our products and services. See “Item 3. Key Information—D. Risk Factors—Risks Related to Technology, Intellectual Property, Data Protection and Cybersecurity—Evolving privacy and consumer protection laws could adversely affect our business” of this annual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 Regulations on Cyber Resilience, Artificial Intelligence and Digital Services</w:t>
      </w:r>
    </w:p>
    <w:p>
      <w:pPr>
        <w:spacing w:after="0" w:line="202"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The Cyber Resilience Act (CRA), which entered into force on December 10, 2024, addresses cybersecurity standards for digital products distributed in the EU, including web browsers. The CRA requires that browsers be designed, developed and produced in line with the certain cybersecurity requirements, that extensive security related documentation be created and maintained, assessment procedures be performed, and that security vulnerabilities be reported. The requirements of the CRA will be phased in gradually through December 2027.</w:t>
      </w:r>
    </w:p>
    <w:p>
      <w:pPr>
        <w:spacing w:after="0" w:line="139" w:lineRule="exact"/>
        <w:rPr>
          <w:sz w:val="20"/>
          <w:szCs w:val="20"/>
          <w:color w:val="auto"/>
        </w:rPr>
      </w:pPr>
    </w:p>
    <w:p>
      <w:pPr>
        <w:jc w:val="both"/>
        <w:ind w:right="120" w:firstLine="374"/>
        <w:spacing w:after="0" w:line="258" w:lineRule="auto"/>
        <w:rPr>
          <w:sz w:val="20"/>
          <w:szCs w:val="20"/>
          <w:color w:val="auto"/>
        </w:rPr>
      </w:pPr>
      <w:r>
        <w:rPr>
          <w:rFonts w:ascii="Times New Roman" w:cs="Times New Roman" w:eastAsia="Times New Roman" w:hAnsi="Times New Roman"/>
          <w:sz w:val="18"/>
          <w:szCs w:val="18"/>
          <w:color w:val="auto"/>
        </w:rPr>
        <w:t>New laws, regulations, policies, and international accords relating to artificial intelligence and digital service, are being developed and formalized in Europe and the U.S. For example, the EU Artificial Intelligence Act includes specific transparency and other requirements for general purpose AI systems and the models on which those systems are based. In addition, the White House's Executive Order on the Safe, Secure, and Trustworthy Development and Use of Artificial Intelligence devises a framework for the U.S. government, among other things, to regulate private sector use and development of certain foundation models.</w:t>
      </w:r>
    </w:p>
    <w:p>
      <w:pPr>
        <w:spacing w:after="0" w:line="143"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The EU’s Digital Markets Act (DMA), which entered into force on November 1, 2022, is intended to ensure a higher degree of competition in European digital markets. The DMA prohibits companies designated as “gatekeepers” and providing core platform services from engaging in certain kinds of self-preferencing behaviors, resulting in increased implementation of browser choice screens and other similar effects that support a healthier competitive landscape for independent companies like Opera.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Content Recommendation</w:t>
      </w:r>
    </w:p>
    <w:p>
      <w:pPr>
        <w:spacing w:after="0" w:line="189" w:lineRule="exact"/>
        <w:rPr>
          <w:sz w:val="20"/>
          <w:szCs w:val="20"/>
          <w:color w:val="auto"/>
        </w:rPr>
      </w:pPr>
    </w:p>
    <w:p>
      <w:pPr>
        <w:jc w:val="both"/>
        <w:ind w:right="80" w:firstLine="374"/>
        <w:spacing w:after="0" w:line="255" w:lineRule="auto"/>
        <w:rPr>
          <w:sz w:val="20"/>
          <w:szCs w:val="20"/>
          <w:color w:val="auto"/>
        </w:rPr>
      </w:pPr>
      <w:r>
        <w:rPr>
          <w:rFonts w:ascii="Times New Roman" w:cs="Times New Roman" w:eastAsia="Times New Roman" w:hAnsi="Times New Roman"/>
          <w:sz w:val="18"/>
          <w:szCs w:val="18"/>
          <w:color w:val="auto"/>
        </w:rPr>
        <w:t>Our Opera News content discovery and recommendation platform is available in a wide variety of markets worldwide. In recent years, there has been an increased emphasis on the veracity of online news reports, with the increasing social expectation that content platforms and aggregators will take steps to prevent the dissemination of fake news. Moreover, a number of countries have adopted regulatory regimes for news aggregation services requiring local registration or licensing, in some cases enabling more effective governmental restrictions on their citizens’ access to certain categories of information.</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Other countries have adopted legislation expanding publishers’ copyright entitlements on digital platforms including search engines, social media and content recommendation platforms. Various countries, including Australia and Indonesia, for example, have adopted laws which afford publishers of digital media the right to receive payment for use of their content in search results or content recommendations. In 2019, the European Union adopted Directive (EU) 2019/790 on copyright and related rights in the Digital Single Market, which gives press publications more direct control over the re-use of their content and also tasks online content sharing platforms, which host user-generated content, with certain duties related to preventing their users from violating copyright of others. In short, content aggregation is becoming increasingly regulated, and we anticipate that we will be subject to an increasingly diverse and fragmented regulatory environment over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the Crypto Industry</w:t>
      </w:r>
    </w:p>
    <w:p>
      <w:pPr>
        <w:spacing w:after="0" w:line="2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MiniPay is our stablecoin-based, self-custodial wallet built on the Celo blockchain. The regulatory environment for crypto assets is becoming increasingly diverse and fragmented. On December 30, 2024, European Union Regulation (EU) 2023/1114 on markets in crypto-assets, or MiCA, went into force. While MiCA does not directly apply to MiniPay, the regulation has impacted ecosystem participants. For example, certain crypto exchanges have limited access in the EEA to stablecoin tokens that fall under the MiCA e-money token definitions but do not hold the required e-money token issuance authorization. Additionally, under European Union</w:t>
      </w:r>
    </w:p>
    <w:p>
      <w:pPr>
        <w:sectPr>
          <w:pgSz w:w="11900" w:h="16838" w:orient="portrait"/>
          <w:cols w:equalWidth="0" w:num="1">
            <w:col w:w="11240"/>
          </w:cols>
          <w:pgMar w:left="320" w:top="256"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Regulation (EU) 2023/1113 on information accompanying transfers of funds and certain crypto-assets, MiCA crypto assets service providers are obliged to collect information about the originator of the incoming crypto transactions from non-custodial wallets.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Sanctions</w:t>
      </w:r>
    </w:p>
    <w:p>
      <w:pPr>
        <w:spacing w:after="0" w:line="189" w:lineRule="exact"/>
        <w:rPr>
          <w:sz w:val="20"/>
          <w:szCs w:val="20"/>
          <w:color w:val="auto"/>
        </w:rPr>
      </w:pPr>
    </w:p>
    <w:p>
      <w:pPr>
        <w:ind w:right="60" w:firstLine="374"/>
        <w:spacing w:after="0" w:line="253" w:lineRule="auto"/>
        <w:rPr>
          <w:sz w:val="20"/>
          <w:szCs w:val="20"/>
          <w:color w:val="auto"/>
        </w:rPr>
      </w:pPr>
      <w:r>
        <w:rPr>
          <w:rFonts w:ascii="Times New Roman" w:cs="Times New Roman" w:eastAsia="Times New Roman" w:hAnsi="Times New Roman"/>
          <w:sz w:val="18"/>
          <w:szCs w:val="18"/>
          <w:color w:val="auto"/>
        </w:rPr>
        <w:t>The European Union adopted certain economic sanctions following the 2014 invasion and purported annexation of Crimea in Council Regulation (EU) 833/2014 of 31 July 2014 concerning restrictive measures in view of Russia’s actions destabilizing the situation in Ukraine, or the EU Regulation. Norway, as a member of the EEA, has incorporated the EU Regulation’s economic sanctions into its domestic law in the Norwegian Sanctions Act. Since 2014 and in light of Russia’s continuing aggression in Ukraine, the European Union has amended the EU Regulation with various additional packages of economic sanctions and accordingly additional sanctions have in due course likewise been incorporated into Norwegian domestic law. For example, on December 16, 2022, the European Union adopted an amendment to the EU Regulation prohibiting the provision of “advertising services” to legal persons, entities or bodies established in Russia, and therefore we have subsequently terminated all advertising contracts with customers in Russia among other actions. Likewise, on June 24, 2024, the European Union adopted an amendment to the EU Regulation requiring companies in the EU to use “best efforts” to ensure their respective non-EU subsidiaries also comply with the sanctions. The European Union, as well as other jurisdictions including the United States, have continued to periodically adopt more and additional sanctions from time to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Rights</w:t>
      </w:r>
    </w:p>
    <w:p>
      <w:pPr>
        <w:spacing w:after="0" w:line="20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In July 2022, the Norwegian Transparency Act came into force. To promote respect for basic human rights and decent working conditions, the Transparency Act imposes a duty on Norwegian companies to publish certain information regarding how they work to ensure basic human rights and decent working conditions, both in their own businesses as well as in their supply chains. In accordance with the act, Opera carries out due diligence assessments of the risks associated with Opera’s business of potential violation of basic human rights or decent working conditions by Opera, its suppliers, or its business partners. The results of these due diligence assessments are reported and made public annually on Opera’s website.</w:t>
      </w:r>
    </w:p>
    <w:p>
      <w:pPr>
        <w:spacing w:after="0" w:line="139"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189"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The chart below summarizes our corporate structure as of the date of this annual report and identifies all our principal subsidiaries and their places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97155</wp:posOffset>
            </wp:positionV>
            <wp:extent cx="6172200" cy="25971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220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0.01% is held by another Opera group entity.</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is held by a nominee shareholder.</w:t>
      </w:r>
    </w:p>
    <w:p>
      <w:pPr>
        <w:spacing w:after="0" w:line="191"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Plants and Equipment</w:t>
      </w:r>
    </w:p>
    <w:p>
      <w:pPr>
        <w:spacing w:after="0" w:line="189"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Oslo, Norway. Our principal technical development facilities are located in Wroclaw, Poland, Dundee, Scotland, Beijing, China and both Linköping and Gothenburg, Sweden. We also maintain offices in several other countries, including Singapore, Nigeria, Ireland, France, Germany, Spain, South Africa and Kenya.</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Our servers are hosted in data centers in the Netherlands, the United States, Canada, Nigeria, Iceland and Singapore. These data centers are owned and operated by third-party providers with which we have hosting and colocation agreements that typically have initial terms of one to three years and are renewable.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00" w:lineRule="exact"/>
        <w:rPr>
          <w:sz w:val="20"/>
          <w:szCs w:val="20"/>
          <w:color w:val="auto"/>
        </w:rPr>
      </w:pPr>
    </w:p>
    <w:p>
      <w:pPr>
        <w:ind w:right="280"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results of operations and financial condition together with our consolidated financial statements and the related notes included elsewhere in this annual report. This discussion includes forward-looking statements that involve risks and uncertainties. Our actual results may differ materially from those expressed or implied by these forward-looking statements due to various factors, including those described under “Item 3. Key Information—D. Risk Factors” and elsewhere in this annual report.</w:t>
      </w:r>
    </w:p>
    <w:p>
      <w:pPr>
        <w:spacing w:after="0" w:line="139" w:lineRule="exact"/>
        <w:rPr>
          <w:sz w:val="20"/>
          <w:szCs w:val="20"/>
          <w:color w:val="auto"/>
        </w:rPr>
      </w:pPr>
    </w:p>
    <w:p>
      <w:pPr>
        <w:ind w:right="4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discusses our results of operations and financial condition for the year ended December 31, 2025, compared to the year ended December 31, 2024. For a discussion of the year ended December 31, 2024, compared to the year ended December 31, 2023, see “Item 5. Operating and Financial Review and Prospects” in our annual report on Form 20-F for the year ended December 31, 2024, filed with the SEC on April 10, 2025.</w:t>
      </w:r>
    </w:p>
    <w:p>
      <w:pPr>
        <w:spacing w:after="0" w:line="133"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Our consolidated financial statements are prepared in accordance with IFRS Accounting Standards. In addition, we present adjusted net income, adjusted EBITDA, adjusted diluted earnings per share and free cash flow from operations, which are non-IFRS financial measures. We believe these measures provide useful supplemental information for evaluating our operating performance and liquidity. Definitions of these measures, the reasons for their use and reconciliations from the most directly comparable IFRS measures are included below under the sections titled “Adjusted Net Income, Adjusted EBITDA and Adjusted Diluted Earnings per Share,” and “Free Cash Flow From Operations.”</w:t>
      </w:r>
    </w:p>
    <w:p>
      <w:pPr>
        <w:spacing w:after="0" w:line="73" w:lineRule="exact"/>
        <w:rPr>
          <w:sz w:val="20"/>
          <w:szCs w:val="20"/>
          <w:color w:val="auto"/>
        </w:rPr>
      </w:pPr>
    </w:p>
    <w:p>
      <w:pPr>
        <w:ind w:right="9460" w:firstLine="8"/>
        <w:spacing w:after="0" w:line="464" w:lineRule="auto"/>
        <w:tabs>
          <w:tab w:leader="none" w:pos="37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 Executive Overview</w:t>
      </w:r>
    </w:p>
    <w:p>
      <w:pPr>
        <w:ind w:firstLine="374"/>
        <w:spacing w:after="0" w:line="254" w:lineRule="auto"/>
        <w:rPr>
          <w:sz w:val="20"/>
          <w:szCs w:val="20"/>
          <w:color w:val="auto"/>
        </w:rPr>
      </w:pPr>
      <w:r>
        <w:rPr>
          <w:rFonts w:ascii="Times New Roman" w:cs="Times New Roman" w:eastAsia="Times New Roman" w:hAnsi="Times New Roman"/>
          <w:sz w:val="18"/>
          <w:szCs w:val="18"/>
          <w:color w:val="auto"/>
        </w:rPr>
        <w:t>Opera is a global web innovator whose core business centers on developing distinctive web browsers and integrated, AI-driven digital products for a global user base. Our portfolio includes our flagship PC and mobile browsers, as well as Opera GX, a specialized browser optimized for gamers, and Opera Neon, a premium subscription-based agentic AI browser designed for power users. We focus on delivering a superior, personalized, and secure online experience to our extensive user base. We monetize this diverse user base and generate revenue through two streams: advertising and queries. Advertising revenue is derived from the delivery of targeted ad units, programmatic advertising, and promotional placements across our proprietary platforms and third-party publisher networks. Query revenue is generated from traffic referral arrangements with search engine providers, e-commerce platforms, AI platforms and other partners, and is earned when users submit qualifying queries or access partner services through our integrated browser features. Our executive chairman, who is our chief operating decision maker, reviews operating results on a consolidated basis. As a result, we operate and report as a single operating segment. For a more detailed description of our business and products, see “Item 4. Information on the Company—B. Business Overview.”</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financial highlights (in thousands, except for per share amounts and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7"/>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3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10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80" w:type="dxa"/>
            <w:vAlign w:val="bottom"/>
          </w:tcPr>
          <w:p>
            <w:pPr>
              <w:spacing w:after="0"/>
              <w:rPr>
                <w:sz w:val="17"/>
                <w:szCs w:val="17"/>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614,825</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108,282</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income margin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39%</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18%</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72,284</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86,093</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102,069</w:t>
            </w: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Adjusted net income margin </w:t>
            </w:r>
            <w:r>
              <w:rPr>
                <w:rFonts w:ascii="Times New Roman" w:cs="Times New Roman" w:eastAsia="Times New Roman" w:hAnsi="Times New Roman"/>
                <w:sz w:val="24"/>
                <w:szCs w:val="24"/>
                <w:color w:val="auto"/>
                <w:vertAlign w:val="superscript"/>
              </w:rPr>
              <w:t>(1)</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18%</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18%</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17%</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(1)</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115,309</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142,530</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i w:val="1"/>
                <w:iCs w:val="1"/>
                <w:color w:val="auto"/>
              </w:rPr>
              <w:t xml:space="preserve">Adjusted EBITDA margin </w:t>
            </w:r>
            <w:r>
              <w:rPr>
                <w:rFonts w:ascii="Times New Roman" w:cs="Times New Roman" w:eastAsia="Times New Roman" w:hAnsi="Times New Roman"/>
                <w:sz w:val="24"/>
                <w:szCs w:val="24"/>
                <w:color w:val="auto"/>
                <w:vertAlign w:val="superscript"/>
              </w:rPr>
              <w:t>(1)</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24%</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23%</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7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diluted earnings per share </w:t>
            </w:r>
            <w:r>
              <w:rPr>
                <w:rFonts w:ascii="Times New Roman" w:cs="Times New Roman" w:eastAsia="Times New Roman" w:hAnsi="Times New Roman"/>
                <w:sz w:val="24"/>
                <w:szCs w:val="24"/>
                <w:color w:val="auto"/>
                <w:vertAlign w:val="superscript"/>
              </w:rPr>
              <w:t>(1)</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117,728</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percentage of adjusted EBITDA</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88%</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83%</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7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Free cash flow from operations </w:t>
            </w:r>
            <w:r>
              <w:rPr>
                <w:rFonts w:ascii="Times New Roman" w:cs="Times New Roman" w:eastAsia="Times New Roman" w:hAnsi="Times New Roman"/>
                <w:sz w:val="24"/>
                <w:szCs w:val="24"/>
                <w:color w:val="auto"/>
                <w:vertAlign w:val="superscript"/>
              </w:rPr>
              <w:t>(1)</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72,451</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70,190</w:t>
            </w:r>
          </w:p>
        </w:tc>
        <w:tc>
          <w:tcPr>
            <w:tcW w:w="2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97,707</w:t>
            </w:r>
          </w:p>
        </w:tc>
        <w:tc>
          <w:tcPr>
            <w:tcW w:w="2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As percentage of adjusted EBITDA</w:t>
            </w: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i w:val="1"/>
                <w:iCs w:val="1"/>
                <w:color w:val="auto"/>
              </w:rPr>
              <w:t>77%</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69%</w:t>
            </w: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bl>
    <w:p>
      <w:pPr>
        <w:ind w:left="380" w:right="580" w:hanging="372"/>
        <w:spacing w:after="0" w:line="275" w:lineRule="auto"/>
        <w:tabs>
          <w:tab w:leader="none" w:pos="3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sections below titled “Adjusted Net Income, Adjusted EBITDA and Adjusted Diluted Earnings per Share” and “Free Cash Flow From Operations” for explanations and reconciliations of these non-IFRS financial measures.</w:t>
      </w:r>
    </w:p>
    <w:p>
      <w:pPr>
        <w:spacing w:after="0" w:line="149" w:lineRule="exact"/>
        <w:rPr>
          <w:rFonts w:ascii="Times New Roman" w:cs="Times New Roman" w:eastAsia="Times New Roman" w:hAnsi="Times New Roman"/>
          <w:sz w:val="16"/>
          <w:szCs w:val="16"/>
          <w:color w:val="auto"/>
        </w:rPr>
      </w:pPr>
    </w:p>
    <w:p>
      <w:pPr>
        <w:ind w:left="760" w:right="140" w:hanging="378"/>
        <w:spacing w:after="0" w:line="261"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$614.8 million in 2025, an increase of $134.2 million, or 28%, from 2024. Driven by continued strong momentum from e-commerce partners and our ability to deliver targeted high-purchase-intent traffic to our advertising partners, advertising revenue increased by $105.3 million, or 36%, from 2024 to 2025. Query revenue increased $27.8 million, or 15%, over the same period, driven by our ongoing focus on users with the greatest monetization potential and broadening interfaces to address users’ intent.</w:t>
      </w:r>
    </w:p>
    <w:p>
      <w:pPr>
        <w:spacing w:after="0" w:line="139" w:lineRule="exact"/>
        <w:rPr>
          <w:rFonts w:ascii="Times New Roman" w:cs="Times New Roman" w:eastAsia="Times New Roman" w:hAnsi="Times New Roman"/>
          <w:sz w:val="18"/>
          <w:szCs w:val="18"/>
          <w:color w:val="auto"/>
        </w:rPr>
      </w:pPr>
    </w:p>
    <w:p>
      <w:pPr>
        <w:ind w:left="760" w:right="60" w:hanging="378"/>
        <w:spacing w:after="0" w:line="256"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totaled $524.4 million in 2025, an increase of $133.6 million, or 34%, compared to 2024. The increase was primarily driven by the cost of inventory sold, which rose by $86.5 million, or 73%, to $205.1 million following our successful scaling of the Opera Ads platform also outside Opera’s own inventory. Marketing and distribution expenses increased by $10.3 million, or 8%, to $142.2 million. Share-based compensation expenses increased by $21.6 million, or 222% due to awards of multi-year grants in early 2025 for which cost recognition is front loaded while the number of share units vesting each year remains relatively stable. Cash-based personnel expenses increased by $9.1 million, or 13%.</w:t>
      </w:r>
    </w:p>
    <w:p>
      <w:pPr>
        <w:spacing w:after="0" w:line="146" w:lineRule="exact"/>
        <w:rPr>
          <w:rFonts w:ascii="Times New Roman" w:cs="Times New Roman" w:eastAsia="Times New Roman" w:hAnsi="Times New Roman"/>
          <w:sz w:val="18"/>
          <w:szCs w:val="18"/>
          <w:color w:val="auto"/>
        </w:rPr>
      </w:pPr>
    </w:p>
    <w:p>
      <w:pPr>
        <w:ind w:left="760" w:right="40" w:hanging="378"/>
        <w:spacing w:after="0" w:line="258"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$108.3 million in 2025, an increase of 34% from 2024. The increase was primarily driven by the recognition of an unrealized gain of $36.3 million on our OPay investment in 2025, compared to an unrealized gain of $5.0 million recognized in 2024 and more than offsetting the increase in share-based compensation expenses. Adjusted net income, which excludes gains and losses on unconsolidated investments, share-based compensation expenses, and other items that may not be indicative of our recurring core business operating results, was $102.1 million in 2025, an increase of 19% from 2024.</w:t>
      </w:r>
    </w:p>
    <w:p>
      <w:pPr>
        <w:spacing w:after="0" w:line="15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$142.5 million in 2025, representing a 23% margin, up from $115.3 million and a 24% margin in 2024.</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diluted earnings per share was $1.19, whereas adjusted diluted earnings per share was $1.12.</w:t>
      </w:r>
    </w:p>
    <w:p>
      <w:pPr>
        <w:spacing w:after="0" w:line="184" w:lineRule="exact"/>
        <w:rPr>
          <w:rFonts w:ascii="Times New Roman" w:cs="Times New Roman" w:eastAsia="Times New Roman" w:hAnsi="Times New Roman"/>
          <w:sz w:val="18"/>
          <w:szCs w:val="18"/>
          <w:color w:val="auto"/>
        </w:rPr>
      </w:pPr>
    </w:p>
    <w:p>
      <w:pPr>
        <w:ind w:left="760" w:right="180" w:hanging="378"/>
        <w:spacing w:after="0" w:line="258"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flow from operating activities in 2025 was $117.7 million, or 83% of adjusted EBITDA, representing an increase of 12% from 2024 when net cash flow from operating activities was $105.0 million, or 91% of adjusted EBITDA following accelerated revenue collection at the end of the year. Free cash flow from operations was $97.7 million, or 69% of adjusted EBITDA in 2025, compared to $70.2 million, or 61% of adjusted EBITDA in 2024, which included the investment of $19.1 million in an AI data cluster. At year-end 2025, cash and cash equivalents totaled $155.5 million.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02" w:lineRule="exact"/>
        <w:rPr>
          <w:sz w:val="20"/>
          <w:szCs w:val="20"/>
          <w:color w:val="auto"/>
        </w:rPr>
      </w:pPr>
    </w:p>
    <w:p>
      <w:pPr>
        <w:ind w:left="760" w:right="48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we paid two cash dividends of $0.40 per share under our recurring dividend program. In January 2026, we paid an additional cash dividend of $0.40 per share under the program to shareholders of record as of January 7, 2026.</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we had 605 full-time employees, an increase of 1% year-over-year.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User Metrics</w:t>
      </w:r>
    </w:p>
    <w:p>
      <w:pPr>
        <w:spacing w:after="0" w:line="202"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disclose MAU and ARPU metrics to provide investors with additional information about user engagement, monetization trends and operating performance. These metrics are subject to inherent limitations and may not be comparable to similarly titled metrics used by other companies. See “Item 3. Key Information—D. Risk Factors—Risks Related to Financial Reporting and Information Disclosure—Inaccuracies or misinterpretation of our operating metrics could harm our business.”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our MAU metrics for the periods indicated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141"/>
              <w:spacing w:after="0"/>
              <w:rPr>
                <w:sz w:val="20"/>
                <w:szCs w:val="20"/>
                <w:color w:val="auto"/>
              </w:rPr>
            </w:pPr>
            <w:r>
              <w:rPr>
                <w:rFonts w:ascii="Times New Roman" w:cs="Times New Roman" w:eastAsia="Times New Roman" w:hAnsi="Times New Roman"/>
                <w:sz w:val="15"/>
                <w:szCs w:val="15"/>
                <w:b w:val="1"/>
                <w:bCs w:val="1"/>
                <w:color w:val="auto"/>
              </w:rPr>
              <w:t xml:space="preserve">Three months ended </w:t>
            </w:r>
            <w:r>
              <w:rPr>
                <w:rFonts w:ascii="Times New Roman" w:cs="Times New Roman" w:eastAsia="Times New Roman" w:hAnsi="Times New Roman"/>
                <w:sz w:val="20"/>
                <w:szCs w:val="20"/>
                <w:b w:val="1"/>
                <w:bCs w:val="1"/>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134"/>
        </w:trPr>
        <w:tc>
          <w:tcPr>
            <w:tcW w:w="3280" w:type="dxa"/>
            <w:vAlign w:val="bottom"/>
          </w:tcPr>
          <w:p>
            <w:pPr>
              <w:spacing w:after="0"/>
              <w:rPr>
                <w:sz w:val="11"/>
                <w:szCs w:val="11"/>
                <w:color w:val="auto"/>
              </w:rPr>
            </w:pPr>
          </w:p>
        </w:tc>
        <w:tc>
          <w:tcPr>
            <w:tcW w:w="940" w:type="dxa"/>
            <w:vAlign w:val="bottom"/>
          </w:tcPr>
          <w:p>
            <w:pPr>
              <w:jc w:val="right"/>
              <w:ind w:right="120"/>
              <w:spacing w:after="0" w:line="134" w:lineRule="exact"/>
              <w:rPr>
                <w:sz w:val="20"/>
                <w:szCs w:val="20"/>
                <w:color w:val="auto"/>
              </w:rPr>
            </w:pPr>
            <w:r>
              <w:rPr>
                <w:rFonts w:ascii="Times New Roman" w:cs="Times New Roman" w:eastAsia="Times New Roman" w:hAnsi="Times New Roman"/>
                <w:sz w:val="15"/>
                <w:szCs w:val="15"/>
                <w:b w:val="1"/>
                <w:bCs w:val="1"/>
                <w:color w:val="auto"/>
              </w:rPr>
              <w:t>Mar. 31,</w:t>
            </w:r>
          </w:p>
        </w:tc>
        <w:tc>
          <w:tcPr>
            <w:tcW w:w="120" w:type="dxa"/>
            <w:vAlign w:val="bottom"/>
          </w:tcPr>
          <w:p>
            <w:pPr>
              <w:spacing w:after="0"/>
              <w:rPr>
                <w:sz w:val="11"/>
                <w:szCs w:val="11"/>
                <w:color w:val="auto"/>
              </w:rPr>
            </w:pPr>
          </w:p>
        </w:tc>
        <w:tc>
          <w:tcPr>
            <w:tcW w:w="900" w:type="dxa"/>
            <w:vAlign w:val="bottom"/>
          </w:tcPr>
          <w:p>
            <w:pPr>
              <w:jc w:val="right"/>
              <w:ind w:right="101"/>
              <w:spacing w:after="0" w:line="134"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20" w:type="dxa"/>
            <w:vAlign w:val="bottom"/>
          </w:tcPr>
          <w:p>
            <w:pPr>
              <w:spacing w:after="0"/>
              <w:rPr>
                <w:sz w:val="11"/>
                <w:szCs w:val="11"/>
                <w:color w:val="auto"/>
              </w:rPr>
            </w:pPr>
          </w:p>
        </w:tc>
        <w:tc>
          <w:tcPr>
            <w:tcW w:w="920" w:type="dxa"/>
            <w:vAlign w:val="bottom"/>
          </w:tcPr>
          <w:p>
            <w:pPr>
              <w:jc w:val="right"/>
              <w:ind w:right="141"/>
              <w:spacing w:after="0" w:line="134" w:lineRule="exact"/>
              <w:rPr>
                <w:sz w:val="20"/>
                <w:szCs w:val="20"/>
                <w:color w:val="auto"/>
              </w:rPr>
            </w:pPr>
            <w:r>
              <w:rPr>
                <w:rFonts w:ascii="Times New Roman" w:cs="Times New Roman" w:eastAsia="Times New Roman" w:hAnsi="Times New Roman"/>
                <w:sz w:val="15"/>
                <w:szCs w:val="15"/>
                <w:b w:val="1"/>
                <w:bCs w:val="1"/>
                <w:color w:val="auto"/>
              </w:rPr>
              <w:t>Sept. 30,</w:t>
            </w:r>
          </w:p>
        </w:tc>
        <w:tc>
          <w:tcPr>
            <w:tcW w:w="120" w:type="dxa"/>
            <w:vAlign w:val="bottom"/>
          </w:tcPr>
          <w:p>
            <w:pPr>
              <w:spacing w:after="0"/>
              <w:rPr>
                <w:sz w:val="11"/>
                <w:szCs w:val="11"/>
                <w:color w:val="auto"/>
              </w:rPr>
            </w:pPr>
          </w:p>
        </w:tc>
        <w:tc>
          <w:tcPr>
            <w:tcW w:w="880" w:type="dxa"/>
            <w:vAlign w:val="bottom"/>
          </w:tcPr>
          <w:p>
            <w:pPr>
              <w:jc w:val="right"/>
              <w:ind w:right="122"/>
              <w:spacing w:after="0" w:line="134" w:lineRule="exact"/>
              <w:rPr>
                <w:sz w:val="20"/>
                <w:szCs w:val="20"/>
                <w:color w:val="auto"/>
              </w:rPr>
            </w:pPr>
            <w:r>
              <w:rPr>
                <w:rFonts w:ascii="Times New Roman" w:cs="Times New Roman" w:eastAsia="Times New Roman" w:hAnsi="Times New Roman"/>
                <w:sz w:val="15"/>
                <w:szCs w:val="15"/>
                <w:b w:val="1"/>
                <w:bCs w:val="1"/>
                <w:color w:val="auto"/>
              </w:rPr>
              <w:t>Dec. 31,</w:t>
            </w:r>
          </w:p>
        </w:tc>
        <w:tc>
          <w:tcPr>
            <w:tcW w:w="120" w:type="dxa"/>
            <w:vAlign w:val="bottom"/>
          </w:tcPr>
          <w:p>
            <w:pPr>
              <w:spacing w:after="0"/>
              <w:rPr>
                <w:sz w:val="11"/>
                <w:szCs w:val="11"/>
                <w:color w:val="auto"/>
              </w:rPr>
            </w:pPr>
          </w:p>
        </w:tc>
        <w:tc>
          <w:tcPr>
            <w:tcW w:w="820" w:type="dxa"/>
            <w:vAlign w:val="bottom"/>
          </w:tcPr>
          <w:p>
            <w:pPr>
              <w:jc w:val="right"/>
              <w:ind w:right="1"/>
              <w:spacing w:after="0" w:line="134" w:lineRule="exact"/>
              <w:rPr>
                <w:sz w:val="20"/>
                <w:szCs w:val="20"/>
                <w:color w:val="auto"/>
              </w:rPr>
            </w:pPr>
            <w:r>
              <w:rPr>
                <w:rFonts w:ascii="Times New Roman" w:cs="Times New Roman" w:eastAsia="Times New Roman" w:hAnsi="Times New Roman"/>
                <w:sz w:val="15"/>
                <w:szCs w:val="15"/>
                <w:b w:val="1"/>
                <w:bCs w:val="1"/>
                <w:color w:val="auto"/>
              </w:rPr>
              <w:t>Mar. 31,</w:t>
            </w:r>
          </w:p>
        </w:tc>
        <w:tc>
          <w:tcPr>
            <w:tcW w:w="120" w:type="dxa"/>
            <w:vAlign w:val="bottom"/>
          </w:tcPr>
          <w:p>
            <w:pPr>
              <w:spacing w:after="0"/>
              <w:rPr>
                <w:sz w:val="11"/>
                <w:szCs w:val="11"/>
                <w:color w:val="auto"/>
              </w:rPr>
            </w:pPr>
          </w:p>
        </w:tc>
        <w:tc>
          <w:tcPr>
            <w:tcW w:w="880" w:type="dxa"/>
            <w:vAlign w:val="bottom"/>
          </w:tcPr>
          <w:p>
            <w:pPr>
              <w:jc w:val="right"/>
              <w:ind w:right="101"/>
              <w:spacing w:after="0" w:line="134" w:lineRule="exact"/>
              <w:rPr>
                <w:sz w:val="20"/>
                <w:szCs w:val="20"/>
                <w:color w:val="auto"/>
              </w:rPr>
            </w:pPr>
            <w:r>
              <w:rPr>
                <w:rFonts w:ascii="Times New Roman" w:cs="Times New Roman" w:eastAsia="Times New Roman" w:hAnsi="Times New Roman"/>
                <w:sz w:val="15"/>
                <w:szCs w:val="15"/>
                <w:b w:val="1"/>
                <w:bCs w:val="1"/>
                <w:color w:val="auto"/>
              </w:rPr>
              <w:t>June 30,</w:t>
            </w:r>
          </w:p>
        </w:tc>
        <w:tc>
          <w:tcPr>
            <w:tcW w:w="100" w:type="dxa"/>
            <w:vAlign w:val="bottom"/>
          </w:tcPr>
          <w:p>
            <w:pPr>
              <w:spacing w:after="0"/>
              <w:rPr>
                <w:sz w:val="11"/>
                <w:szCs w:val="11"/>
                <w:color w:val="auto"/>
              </w:rPr>
            </w:pPr>
          </w:p>
        </w:tc>
        <w:tc>
          <w:tcPr>
            <w:tcW w:w="900" w:type="dxa"/>
            <w:vAlign w:val="bottom"/>
          </w:tcPr>
          <w:p>
            <w:pPr>
              <w:jc w:val="right"/>
              <w:ind w:right="121"/>
              <w:spacing w:after="0" w:line="134" w:lineRule="exact"/>
              <w:rPr>
                <w:sz w:val="20"/>
                <w:szCs w:val="20"/>
                <w:color w:val="auto"/>
              </w:rPr>
            </w:pPr>
            <w:r>
              <w:rPr>
                <w:rFonts w:ascii="Times New Roman" w:cs="Times New Roman" w:eastAsia="Times New Roman" w:hAnsi="Times New Roman"/>
                <w:sz w:val="15"/>
                <w:szCs w:val="15"/>
                <w:b w:val="1"/>
                <w:bCs w:val="1"/>
                <w:color w:val="auto"/>
              </w:rPr>
              <w:t>Sept. 30,</w:t>
            </w:r>
          </w:p>
        </w:tc>
        <w:tc>
          <w:tcPr>
            <w:tcW w:w="100" w:type="dxa"/>
            <w:vAlign w:val="bottom"/>
          </w:tcPr>
          <w:p>
            <w:pPr>
              <w:spacing w:after="0"/>
              <w:rPr>
                <w:sz w:val="11"/>
                <w:szCs w:val="11"/>
                <w:color w:val="auto"/>
              </w:rPr>
            </w:pPr>
          </w:p>
        </w:tc>
        <w:tc>
          <w:tcPr>
            <w:tcW w:w="920" w:type="dxa"/>
            <w:vAlign w:val="bottom"/>
          </w:tcPr>
          <w:p>
            <w:pPr>
              <w:jc w:val="right"/>
              <w:ind w:right="121"/>
              <w:spacing w:after="0" w:line="134" w:lineRule="exact"/>
              <w:rPr>
                <w:sz w:val="20"/>
                <w:szCs w:val="20"/>
                <w:color w:val="auto"/>
              </w:rPr>
            </w:pPr>
            <w:r>
              <w:rPr>
                <w:rFonts w:ascii="Times New Roman" w:cs="Times New Roman" w:eastAsia="Times New Roman" w:hAnsi="Times New Roman"/>
                <w:sz w:val="15"/>
                <w:szCs w:val="15"/>
                <w:b w:val="1"/>
                <w:bCs w:val="1"/>
                <w:color w:val="auto"/>
              </w:rPr>
              <w:t>Dec. 31,</w:t>
            </w:r>
          </w:p>
        </w:tc>
      </w:tr>
      <w:tr>
        <w:trPr>
          <w:trHeight w:val="183"/>
        </w:trPr>
        <w:tc>
          <w:tcPr>
            <w:tcW w:w="3280" w:type="dxa"/>
            <w:vAlign w:val="bottom"/>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5"/>
                <w:szCs w:val="15"/>
                <w:b w:val="1"/>
                <w:bCs w:val="1"/>
                <w:color w:val="auto"/>
              </w:rPr>
              <w:t>2024</w:t>
            </w:r>
          </w:p>
        </w:tc>
        <w:tc>
          <w:tcPr>
            <w:tcW w:w="120" w:type="dxa"/>
            <w:vAlign w:val="bottom"/>
          </w:tcPr>
          <w:p>
            <w:pPr>
              <w:spacing w:after="0"/>
              <w:rPr>
                <w:sz w:val="15"/>
                <w:szCs w:val="15"/>
                <w:color w:val="auto"/>
              </w:rPr>
            </w:pPr>
          </w:p>
        </w:tc>
        <w:tc>
          <w:tcPr>
            <w:tcW w:w="8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196"/>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Smartphone average MAUs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167.2</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PC browser average MAUs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86.2</w:t>
            </w:r>
          </w:p>
        </w:tc>
      </w:tr>
      <w:tr>
        <w:trPr>
          <w:trHeight w:val="203"/>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Feature phone average MAUs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3"/>
        </w:trPr>
        <w:tc>
          <w:tcPr>
            <w:tcW w:w="32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Total MAUs</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298.5</w:t>
            </w:r>
          </w:p>
        </w:tc>
        <w:tc>
          <w:tcPr>
            <w:tcW w:w="12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296.0</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2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-16510</wp:posOffset>
            </wp:positionV>
            <wp:extent cx="774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-16510</wp:posOffset>
            </wp:positionV>
            <wp:extent cx="774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-16510</wp:posOffset>
            </wp:positionV>
            <wp:extent cx="7683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171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-16510</wp:posOffset>
            </wp:positionV>
            <wp:extent cx="685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-16510</wp:posOffset>
            </wp:positionV>
            <wp:extent cx="685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-16510</wp:posOffset>
            </wp:positionV>
            <wp:extent cx="685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-16510</wp:posOffset>
            </wp:positionV>
            <wp:extent cx="685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across the three months included in each period, with each month calculated as of its final day using a 30-day lookback window.</w:t>
      </w:r>
    </w:p>
    <w:p>
      <w:pPr>
        <w:spacing w:after="0" w:line="176"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Average smartphone MAUs for the three months ended December 31, 2025, were 167 million, including approximately 141 million smartphone browser users and 25 million Opera News app users. Opera GX reached 34 million MAUs across PC and mobile in the fourth quarter of 2025.</w:t>
      </w:r>
    </w:p>
    <w:p>
      <w:pPr>
        <w:spacing w:after="0" w:line="135"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While total MAUs declined modestly in 2025 as we prioritized user quality, engagement and monetization in higher-monetization Western markets over absolute user growth, our strategy and focus resulted in annualized ARPU increasing by 26% from the fourth quarter of 2024 to the same quarter in 2025, driven by growth in both advertising and query revenue.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146165" cy="3866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46165" cy="3866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380" w:right="380" w:hanging="372"/>
        <w:spacing w:after="0" w:line="280" w:lineRule="auto"/>
        <w:tabs>
          <w:tab w:leader="none" w:pos="3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advertising and query revenue for the quarter ended on the indicated date, divided by average MAUs for that quarter, and annualized (multiplied by four).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Factors Affecting Our Results of Operations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factors have materially affected, and may continue to affect our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User Base Composition and Monetization</w:t>
      </w:r>
    </w:p>
    <w:p>
      <w:pPr>
        <w:spacing w:after="0" w:line="2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Our user base is a key driver of revenue through its attractiveness to advertisers and search partners and its impact on user-level monetization. Our revenue depends not only on the size of our user base, but also on its composition, including geographic distribution, demographics, engagement, and commercial value to partners. In recent periods, we have prioritized growth in geographies and user segments with higher monetization potential, which has shifted our user and revenue mix toward more developed markets. As a result, a decline in total MAUs has been offset by higher ARPU. Future changes in user mix across regions or segments, or shifts in engagement levels, may affect ARPU and overall revenue, even if total user levels remain stable.</w:t>
      </w:r>
    </w:p>
    <w:p>
      <w:pPr>
        <w:spacing w:after="0" w:line="143"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Broader industry trends, competitive dynamics, and evolving user behavior continue to influence how users discover and consume content, interact with advertising, and use search and AI-enabled services. Our ability to adapt to these changes, and to attract, retain, and engage users with high monetization potential, will remain an important determinant of our revenue growth, profitability,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Monetization Partner Relationships and Revenue Sharing</w:t>
      </w:r>
    </w:p>
    <w:p>
      <w:pPr>
        <w:spacing w:after="0" w:line="202"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We maintain long-standing relationships with a number of key monetization partners, including Google. Changes to revenue-sharing arrangements, fee structures, payment policies or other contractual terms with these partners, as well as legal or regulatory developments affecting their business models, could affect our revenues, either positively or negatively. While we did not experience material adverse impacts from such changes during the period from 2023 through 2025, our results remain sensitive to the terms and performance of these arrangements.</w:t>
      </w:r>
    </w:p>
    <w:p>
      <w:pPr>
        <w:spacing w:after="0" w:line="13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Our results are also influenced by our ability to integrate and optimize our partners’ services within our products and to access third-party advertising inventory. In 2025, we worked with more than 620 monetization partners, including providers of third-party inventory. Our ability to maintain and expand these relationships depends in part on the effectiveness of our advertising and targeting capabilities, including through our Opera Ads platform. These capabilities rely, in part, on data signals from third-party websites, services and platforms that we do not control. As a result, changes in regulation, platform policies or technical restrictions that limit targeting effectiveness or measurement could adversely affect our advertising revenue.</w:t>
      </w:r>
    </w:p>
    <w:p>
      <w:pPr>
        <w:sectPr>
          <w:pgSz w:w="11900" w:h="16838" w:orient="portrait"/>
          <w:cols w:equalWidth="0" w:num="1">
            <w:col w:w="11240"/>
          </w:cols>
          <w:pgMar w:left="320" w:top="256" w:right="339" w:bottom="1440" w:gutter="0" w:footer="0" w:header="0"/>
        </w:sectPr>
      </w:pP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Market Conditions and Demand Cyclicality</w:t>
      </w:r>
    </w:p>
    <w:p>
      <w:pPr>
        <w:spacing w:after="0" w:line="202"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 is generated from advertising, which is influenced by advertiser demand, pricing dynamics, budget allocation decisions and broader economic conditions. Changes in advertiser spending levels, campaign mix or pricing, particularly when advertisers constrain budgets in response to economic volatility, may affect our advertising revenue and margins.</w:t>
      </w:r>
    </w:p>
    <w:p>
      <w:pPr>
        <w:spacing w:after="0" w:line="13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Advertising demand is also subject to seasonal patterns, with higher levels of spending typically occurring in the fourth quarter and lower levels in the first quarter. In addition, shifts in the mix of advertisers, formats and campaign types, including between brand-oriented and performance-based advertising, may affect monetization levels and revenue growth from period to period.</w:t>
      </w:r>
    </w:p>
    <w:p>
      <w:pPr>
        <w:spacing w:after="0" w:line="135" w:lineRule="exact"/>
        <w:rPr>
          <w:sz w:val="20"/>
          <w:szCs w:val="20"/>
          <w:color w:val="auto"/>
        </w:rPr>
      </w:pPr>
    </w:p>
    <w:p>
      <w:pPr>
        <w:ind w:right="560" w:firstLine="374"/>
        <w:spacing w:after="0" w:line="282" w:lineRule="auto"/>
        <w:rPr>
          <w:sz w:val="20"/>
          <w:szCs w:val="20"/>
          <w:color w:val="auto"/>
        </w:rPr>
      </w:pPr>
      <w:r>
        <w:rPr>
          <w:rFonts w:ascii="Times New Roman" w:cs="Times New Roman" w:eastAsia="Times New Roman" w:hAnsi="Times New Roman"/>
          <w:sz w:val="18"/>
          <w:szCs w:val="18"/>
          <w:color w:val="auto"/>
        </w:rPr>
        <w:t>Our ability to grow advertising revenue depends in part on maintaining sufficient demand from advertisers, the effectiveness of our advertising solutions, and our ability to align advertising inventory with advertiser objectives.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Distribution Economics</w:t>
      </w:r>
    </w:p>
    <w:p>
      <w:pPr>
        <w:spacing w:after="0" w:line="189" w:lineRule="exact"/>
        <w:rPr>
          <w:sz w:val="20"/>
          <w:szCs w:val="20"/>
          <w:color w:val="auto"/>
        </w:rPr>
      </w:pPr>
    </w:p>
    <w:p>
      <w:pPr>
        <w:ind w:right="400" w:firstLine="374"/>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the costs and economics associated with user acquisition. We incur costs to promote and distribute our products across different platforms, including through marketing activities, distribution arrangements and other user acquisition initiatives. Changes in these costs, or in the effectiveness of our distribution efforts, may affect our revenue growth and margins.</w:t>
      </w:r>
    </w:p>
    <w:p>
      <w:pPr>
        <w:spacing w:after="0" w:line="135"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User acquisition and product distribution economics vary by geography, platform and product. As we focus on attracting and retaining users in higher-monetizing segments and regions, our user acquisition costs and distribution mix may change, which can influence ARPU and overall profitability. In addition, changes in distribution arrangements or platform dynamics may affect our ability to efficiently reach users or maintain usage levels.</w:t>
      </w:r>
    </w:p>
    <w:p>
      <w:pPr>
        <w:spacing w:after="0" w:line="149"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Our ability to manage user acquisition and product distribution economics depends on the effectiveness of our marketing and distribution strategies, the performance of our products, and competitive conditions in the markets in which we operate. Variations in these factors may affect our results of operations from period to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8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brand recognition and reputation are important to our ability to attract and retain users and to maintain relationships with monetization, content and distribution partners. A strong brand also supports the adoption of new products and services and enhances the effectiveness of our user acquisition and marketing efforts. A deterioration in brand perception could reduce user engagement, weaken partner relationships and adversely affect our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Platform Mix</w:t>
      </w:r>
    </w:p>
    <w:p>
      <w:pPr>
        <w:spacing w:after="0" w:line="189"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Our results of operations are influenced by the mix of products and platforms through which users access our services. Usage across mobile and PC platforms, as well as across different browser variants, monetizes at different rates and involves different cost structures. Accordingly, changes in the relative mix of platforms or products can affect our revenue growth, margins and results of operations, even if total user levels remain stable.</w:t>
      </w:r>
    </w:p>
    <w:p>
      <w:pPr>
        <w:spacing w:after="0" w:line="135"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Mobile and PC usage differ in terms of advertising formats, query behavior and monetization potential. In addition, our browser variants, including Opera GX and other differentiated products, serve distinct user segments and may exhibit different engagement patterns, monetization profiles and development or marketing costs. Shifts in user adoption or engagement among these platforms or products may therefore affect ARPU and overall monetization.</w:t>
      </w:r>
    </w:p>
    <w:p>
      <w:pPr>
        <w:spacing w:after="0" w:line="153"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Our ability to manage product and platform mix depends on user preferences, distribution dynamics and our ongoing product development and marketing efforts. Changes in this mix, whether driven by user behavior or strategic focus, may impact our results of operations from period to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Investment and Operating Cost Structure</w:t>
      </w:r>
    </w:p>
    <w:p>
      <w:pPr>
        <w:spacing w:after="0" w:line="18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Our results of operations are influenced by our investment in technology, including AI capabilities, and the composition of our operating cost structure. We incur significant costs related to product development, platform infrastructure, data processing and personnel to support our browsers, AI initiatives and advertising technology. Changes in the level, timing or efficiency of these investments may affect our operating expenses and margins from period to period.</w:t>
      </w:r>
    </w:p>
    <w:p>
      <w:pPr>
        <w:spacing w:after="0" w:line="153"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Our operating costs may not move in direct proportion to revenue, with economies of scale being paired with changes in our business mix and investments in marketing and new products, features and platform capabilities, including AI-enabled functionality. While these investments support long-term growth and scalability, they may increase operating expenses in the near term. AI-related initiatives may also require incremental spending on computing capacity, data acquisition and processing, third-party services and specialized personnel, and the magnitude and timing of these costs may vary.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760" w:firstLine="374"/>
        <w:spacing w:after="0" w:line="282" w:lineRule="auto"/>
        <w:rPr>
          <w:sz w:val="20"/>
          <w:szCs w:val="20"/>
          <w:color w:val="auto"/>
        </w:rPr>
      </w:pPr>
      <w:r>
        <w:rPr>
          <w:rFonts w:ascii="Times New Roman" w:cs="Times New Roman" w:eastAsia="Times New Roman" w:hAnsi="Times New Roman"/>
          <w:sz w:val="18"/>
          <w:szCs w:val="18"/>
          <w:color w:val="auto"/>
        </w:rPr>
        <w:t>Our ability to manage our operating cost structure depends on maintaining operating leverage as our business scales, prioritizing technology investments and aligning costs with revenue growth. Variations in these factors may affect our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Legal and Macroeconomic Environment</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Changes in the global regulatory, legal and macroeconomic environment may affect our business practices, cost structure and results of operations. These factors include changes in laws and regulations, economic growth conditions, inflation, fiscal and monetary policy, foreign exchange movements and geopolitical developments.</w:t>
      </w:r>
    </w:p>
    <w:p>
      <w:pPr>
        <w:spacing w:after="0" w:line="135"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During 2025, macroeconomic and geopolitical conditions contributed to volatility in foreign exchange markets, including a weakening of the U.S. dollar against other currencies, which affected our results. Furthermore, the escalation of geopolitical conflict in the Middle East in early 2026 has introduced significant new volatility into global energy and foreign exchange markets. More broadly, these ongoing conditions, including the potential for renewed inflationary pressures or economic slowdowns, may negatively influence advertiser spending, partner demand, and our operating cost base in the current and future periods. We continue to monitor the direct and indirect effects of these developments on our business and financial performance.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 and Acquisitions</w:t>
      </w:r>
    </w:p>
    <w:p>
      <w:pPr>
        <w:spacing w:after="0" w:line="189"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We hold strategic investments and may pursue further investments or acquisitions to expand our products, capabilities or market opportunities. These investments and acquisitions may not generate the expected financial returns and could adversely affect our results of operations, including through impairment charges, amortization of intangible assets or credit losses.</w:t>
      </w:r>
    </w:p>
    <w:p>
      <w:pPr>
        <w:spacing w:after="0" w:line="135"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The timing and magnitude of any such charges may vary from period to period and could reduce our profitability and affect comparability of our financial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 forth our consolidated Statement of Operations data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4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614,825</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(9,312)</w:t>
            </w: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Content cost</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(4,297)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(3,891)</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(6,066)</w:t>
            </w: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inventory sold</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(85,808)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(118,658)</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(205,127)</w:t>
            </w: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(65,801)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(69,940)</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(78,994)</w:t>
            </w: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(9,718)</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(31,273)</w:t>
            </w: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(109,947)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(131,951)</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(142,218)</w:t>
            </w: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expense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(13,165)</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(15,582)</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(18,861)</w:t>
            </w: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(1,946)</w:t>
            </w: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(30,842)</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(31,674)</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(31,291)</w:t>
            </w:r>
          </w:p>
        </w:tc>
      </w:tr>
      <w:tr>
        <w:trPr>
          <w:trHeight w:val="20"/>
        </w:trPr>
        <w:tc>
          <w:tcPr>
            <w:tcW w:w="48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(334,603)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(390,753)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(524,375)</w:t>
            </w:r>
          </w:p>
        </w:tc>
      </w:tr>
      <w:tr>
        <w:trPr>
          <w:trHeight w:val="209"/>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3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62,890</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Share of net income (loss) of equity-accounted investees</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expense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(1,839)</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(4,108)</w:t>
            </w:r>
          </w:p>
        </w:tc>
      </w:tr>
      <w:tr>
        <w:trPr>
          <w:trHeight w:val="20"/>
        </w:trPr>
        <w:tc>
          <w:tcPr>
            <w:tcW w:w="488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r>
      <w:tr>
        <w:trPr>
          <w:trHeight w:val="210"/>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3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159,997</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98,412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(6,697)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(17,642)</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(16,934)</w:t>
            </w:r>
          </w:p>
        </w:tc>
      </w:tr>
      <w:tr>
        <w:trPr>
          <w:trHeight w:val="20"/>
        </w:trPr>
        <w:tc>
          <w:tcPr>
            <w:tcW w:w="4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13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108,282</w:t>
            </w:r>
          </w:p>
        </w:tc>
        <w:tc>
          <w:tcPr>
            <w:tcW w:w="100" w:type="dxa"/>
            <w:vAlign w:val="bottom"/>
            <w:shd w:val="clear" w:color="auto" w:fill="CFF0FC"/>
          </w:tcPr>
          <w:p>
            <w:pPr>
              <w:spacing w:after="0"/>
              <w:rPr>
                <w:sz w:val="21"/>
                <w:szCs w:val="21"/>
                <w:color w:val="auto"/>
              </w:rPr>
            </w:pPr>
          </w:p>
        </w:tc>
      </w:tr>
      <w:tr>
        <w:trPr>
          <w:trHeight w:val="588"/>
        </w:trPr>
        <w:tc>
          <w:tcPr>
            <w:tcW w:w="488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jc w:val="right"/>
              <w:ind w:right="43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06"/>
        </w:trPr>
        <w:tc>
          <w:tcPr>
            <w:tcW w:w="48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-2451100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-2451100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-2159635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-2159635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-1327785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-1327785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-1036320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-1036320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-744855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-728345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-744855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-728345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The following table sets forth the components of our consolidated Statement of Operations data as a percentage of revenue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7"/>
                <w:szCs w:val="17"/>
                <w:color w:val="auto"/>
              </w:rPr>
            </w:pPr>
          </w:p>
        </w:tc>
      </w:tr>
      <w:tr>
        <w:trPr>
          <w:trHeight w:val="209"/>
        </w:trPr>
        <w:tc>
          <w:tcPr>
            <w:tcW w:w="7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Content cost</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 of inventory sold</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Credit loss expense</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0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r>
      <w:tr>
        <w:trPr>
          <w:trHeight w:val="210"/>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09"/>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net income (loss) of equity-accounted investees</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FF0FC"/>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1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r>
      <w:tr>
        <w:trPr>
          <w:trHeight w:val="216"/>
        </w:trPr>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expense</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0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0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CFF0F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8"/>
                <w:szCs w:val="18"/>
                <w:color w:val="auto"/>
              </w:rPr>
            </w:pPr>
          </w:p>
        </w:tc>
      </w:tr>
      <w:tr>
        <w:trPr>
          <w:trHeight w:val="210"/>
        </w:trPr>
        <w:tc>
          <w:tcPr>
            <w:tcW w:w="6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6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104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01"/>
        </w:trPr>
        <w:tc>
          <w:tcPr>
            <w:tcW w:w="608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10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-1870710</wp:posOffset>
            </wp:positionV>
            <wp:extent cx="111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-1870710</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-1870710</wp:posOffset>
            </wp:positionV>
            <wp:extent cx="1117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-1579245</wp:posOffset>
            </wp:positionV>
            <wp:extent cx="1117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-1579245</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-1579245</wp:posOffset>
            </wp:positionV>
            <wp:extent cx="1117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-748030</wp:posOffset>
            </wp:positionV>
            <wp:extent cx="1117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-748030</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-748030</wp:posOffset>
            </wp:positionV>
            <wp:extent cx="1117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-456565</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-456565</wp:posOffset>
            </wp:positionV>
            <wp:extent cx="1111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-456565</wp:posOffset>
            </wp:positionV>
            <wp:extent cx="111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-165100</wp:posOffset>
            </wp:positionV>
            <wp:extent cx="1117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-147955</wp:posOffset>
            </wp:positionV>
            <wp:extent cx="111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-165100</wp:posOffset>
            </wp:positionV>
            <wp:extent cx="1111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-147955</wp:posOffset>
            </wp:positionV>
            <wp:extent cx="1111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-165100</wp:posOffset>
            </wp:positionV>
            <wp:extent cx="1117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-147955</wp:posOffset>
            </wp:positionV>
            <wp:extent cx="1117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380" w:hanging="372"/>
        <w:spacing w:after="0"/>
        <w:tabs>
          <w:tab w:leader="none" w:pos="3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We generate revenue from advertising, query (inclusive of the former “search” category), and other services. Advertising revenue is generated from the delivery of advertisements across our PC and mobile browsers, the Opera News platform, and third-party partner properties. This category also includes income from non-query, user-related monetization activities. Query revenue is generated from traffic referral arrangements with third-party partners, including search engine providers, e-commerce platforms, AI platforms and other partners, when users submit queries or proactively access partner services through integrated browser features. Query revenue includes revenue-share payments and fees related to customizations and integrations that facilitate user access to partner services. Non-search query revenue that in prior periods was classified as advertising has been reclassified to conform to the current classification. Other revenue consists primarily of income from on-demand cloud computing services. The table below presents revenue from each category (in thousands, except for percentages):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7"/>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60" w:type="dxa"/>
            <w:vAlign w:val="bottom"/>
          </w:tcPr>
          <w:p>
            <w:pPr>
              <w:spacing w:after="0"/>
              <w:rPr>
                <w:sz w:val="17"/>
                <w:szCs w:val="17"/>
                <w:color w:val="auto"/>
              </w:rPr>
            </w:pPr>
          </w:p>
        </w:tc>
      </w:tr>
      <w:tr>
        <w:trPr>
          <w:trHeight w:val="210"/>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230,980</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290,723</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396,040</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Query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188,997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216,832</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1,953</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4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r>
      <w:tr>
        <w:trPr>
          <w:trHeight w:val="210"/>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480,648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614,825</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4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-170815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both"/>
        <w:ind w:right="160" w:firstLine="374"/>
        <w:spacing w:after="0" w:line="261" w:lineRule="auto"/>
        <w:rPr>
          <w:sz w:val="20"/>
          <w:szCs w:val="20"/>
          <w:color w:val="auto"/>
        </w:rPr>
      </w:pPr>
      <w:r>
        <w:rPr>
          <w:rFonts w:ascii="Times New Roman" w:cs="Times New Roman" w:eastAsia="Times New Roman" w:hAnsi="Times New Roman"/>
          <w:sz w:val="18"/>
          <w:szCs w:val="18"/>
          <w:color w:val="auto"/>
        </w:rPr>
        <w:t>Advertising revenue increased $105.3 million, or 36%, from 2024 to 2025. Underlying advertising demand, in particular from e-commerce partners, led to better monetization on a per-user basis, which together with improved pricing factors and the growth of our user bases in Western markets, resulted in the continuing growth of our Opera Ads platform where we also leveraged third-party inventories to meet the demand we sourced from advertisers, as evidenced by the growth of our cost of inventory sold.</w:t>
      </w:r>
    </w:p>
    <w:p>
      <w:pPr>
        <w:spacing w:after="0" w:line="13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Query revenue increased $27.8 million, or 15%, from 2024 to 2025. The increase was driven by both underlying monetization improvements by our search partners and broadening of the interfaces in which we can address users’ intent, and the growth of our</w:t>
      </w:r>
    </w:p>
    <w:p>
      <w:pPr>
        <w:sectPr>
          <w:pgSz w:w="11900" w:h="16838" w:orient="portrait"/>
          <w:cols w:equalWidth="0" w:num="1">
            <w:col w:w="11240"/>
          </w:cols>
          <w:pgMar w:left="320" w:top="256"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browser user base in Western markets where advertisers typically pay more to be promoted. As our query revenue includes income from revenue sharing arrangements with our search partners, these factors together had a direct positive impact on our query revenue.</w:t>
      </w:r>
    </w:p>
    <w:p>
      <w:pPr>
        <w:spacing w:after="0" w:line="135"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Other revenue increased $1.0 million, or 111%, from 2024 to 2025. See Note 3 to our consolidated financial statements included elsewhere in this annual report for more information about our revenues.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w:t>
      </w:r>
    </w:p>
    <w:p>
      <w:pPr>
        <w:spacing w:after="0" w:line="189" w:lineRule="exact"/>
        <w:rPr>
          <w:sz w:val="20"/>
          <w:szCs w:val="20"/>
          <w:color w:val="auto"/>
        </w:rPr>
      </w:pPr>
    </w:p>
    <w:p>
      <w:pPr>
        <w:ind w:right="680" w:firstLine="374"/>
        <w:spacing w:after="0" w:line="282" w:lineRule="auto"/>
        <w:rPr>
          <w:sz w:val="20"/>
          <w:szCs w:val="20"/>
          <w:color w:val="auto"/>
        </w:rPr>
      </w:pPr>
      <w:r>
        <w:rPr>
          <w:rFonts w:ascii="Times New Roman" w:cs="Times New Roman" w:eastAsia="Times New Roman" w:hAnsi="Times New Roman"/>
          <w:sz w:val="18"/>
          <w:szCs w:val="18"/>
          <w:color w:val="auto"/>
        </w:rPr>
        <w:t>Other operating income consists of income arising from activities that are not part of our ordinary operations, including net gains or losses on disposals of property, equipment and intangible assets. The table below presents other operating income (in thousands, except for percentages):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3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300" w:type="dxa"/>
            <w:vAlign w:val="bottom"/>
          </w:tcPr>
          <w:p>
            <w:pPr>
              <w:spacing w:after="0"/>
              <w:rPr>
                <w:sz w:val="17"/>
                <w:szCs w:val="17"/>
                <w:color w:val="auto"/>
              </w:rPr>
            </w:pP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2025 vs. 2024</w:t>
            </w:r>
          </w:p>
        </w:tc>
      </w:tr>
      <w:tr>
        <w:trPr>
          <w:trHeight w:val="210"/>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226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(378)</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12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96"/>
              </w:rPr>
              <w:t>NM</w:t>
            </w:r>
          </w:p>
        </w:tc>
      </w:tr>
      <w:tr>
        <w:trPr>
          <w:trHeight w:val="202"/>
        </w:trPr>
        <w:tc>
          <w:tcPr>
            <w:tcW w:w="32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_______________</w:t>
            </w: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1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bl>
    <w:p>
      <w:pPr>
        <w:spacing w:after="0" w:line="204" w:lineRule="exact"/>
        <w:rPr>
          <w:sz w:val="20"/>
          <w:szCs w:val="20"/>
          <w:color w:val="auto"/>
        </w:rPr>
      </w:pPr>
    </w:p>
    <w:p>
      <w:pPr>
        <w:ind w:right="780" w:firstLine="374"/>
        <w:spacing w:after="0" w:line="282" w:lineRule="auto"/>
        <w:rPr>
          <w:sz w:val="20"/>
          <w:szCs w:val="20"/>
          <w:color w:val="auto"/>
        </w:rPr>
      </w:pPr>
      <w:r>
        <w:rPr>
          <w:rFonts w:ascii="Times New Roman" w:cs="Times New Roman" w:eastAsia="Times New Roman" w:hAnsi="Times New Roman"/>
          <w:sz w:val="18"/>
          <w:szCs w:val="18"/>
          <w:color w:val="auto"/>
        </w:rPr>
        <w:t>Other operating income decreased $2.7 million, from 2024 to 2025 and changed from income in 2024 to a net loss in 2025, primarily due to converting crypto assets to cash at reduced market prices.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Platform Fees</w:t>
      </w:r>
    </w:p>
    <w:p>
      <w:pPr>
        <w:spacing w:after="0" w:line="189"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Technology and platform fees primarily consist of platform and collection service costs incurred to support subscription services for which we act as the principal, and transaction and communication platform expenses. The table below presents technology and platform fees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4"/>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7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17"/>
                <w:szCs w:val="17"/>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(3,145)</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(10,010)</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(9,312)</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198"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Technology and platform fees decreased $0.7 million, or 7%, from 2024 to 2025, primarily driven by decreased spending on performance marketing technologies and solutions used in our advertising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Cost</w:t>
      </w:r>
    </w:p>
    <w:p>
      <w:pPr>
        <w:spacing w:after="0" w:line="202"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Content cost consists primarily of payments to content creators on our platforms, including Opera News Hub, as well as payments to publishers and monetization partners. Content cost also includes cashback payments to users. We expect our content cost will be fairly stable as a percentage of the related revenue streams. The table below presents content cost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8"/>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28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60" w:type="dxa"/>
            <w:vAlign w:val="bottom"/>
          </w:tcPr>
          <w:p>
            <w:pPr>
              <w:spacing w:after="0"/>
              <w:rPr>
                <w:sz w:val="17"/>
                <w:szCs w:val="17"/>
                <w:color w:val="auto"/>
              </w:rPr>
            </w:pPr>
          </w:p>
        </w:tc>
      </w:tr>
      <w:tr>
        <w:trPr>
          <w:trHeight w:val="209"/>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Content cost</w:t>
            </w:r>
          </w:p>
        </w:tc>
        <w:tc>
          <w:tcPr>
            <w:tcW w:w="2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(4,297)</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(3,891)</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(6,066)</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Content cost increased by $2.2 million, or 56%, to $6.1 million from 2024 to 2025, mostly related to Opera News.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Inventory Sold</w:t>
      </w:r>
    </w:p>
    <w:p>
      <w:pPr>
        <w:spacing w:after="0" w:line="189"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Cost of inventory sold consists primarily of the cost incurred to acquire third-party advertising inventory that is sold alongside our own inventory to meet advertiser demand. We expect this cost category to grow as a percentage of overall revenue as we see it driving incremental profitability of our advertising business. The table below presents the cost of inventory sold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5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7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60" w:type="dxa"/>
            <w:vAlign w:val="bottom"/>
          </w:tcPr>
          <w:p>
            <w:pPr>
              <w:spacing w:after="0"/>
              <w:rPr>
                <w:sz w:val="17"/>
                <w:szCs w:val="17"/>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inventory sold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(85,808)</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(118,658)</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(205,127)</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621"/>
        </w:trPr>
        <w:tc>
          <w:tcPr>
            <w:tcW w:w="4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93"/>
        </w:trPr>
        <w:tc>
          <w:tcPr>
            <w:tcW w:w="4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 cost of inventory sold increased $86.5 million, or 73%, from 2024 to 2025, and represented 33% of our revenue in 2025, up from 25% of our revenue in 2024. This increase was driven mainly by the continuing expansion of the Opera Ads platform, our audience extension product.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Expenses Excluding Share-based Compensation</w:t>
      </w:r>
    </w:p>
    <w:p>
      <w:pPr>
        <w:spacing w:after="0" w:line="18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Cash-based personnel expenses consist primarily of salaries and bonuses, related social security contributions, costs of external temporary hires, and other personnel-related expenses, and are presented net of capitalized development costs. We expect cash-based compensation expenses to increase in absolute terms over time, primarily reflecting business growth, expansion of our global operations, and periodic salary adjustments, while declining as a percentage of revenue. The table below presents cash-based personnel expenses (in thousands, except for percentages):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6"/>
          </w:tcPr>
          <w:p>
            <w:pPr>
              <w:jc w:val="center"/>
              <w:ind w:left="4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7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80" w:type="dxa"/>
            <w:vAlign w:val="bottom"/>
          </w:tcPr>
          <w:p>
            <w:pPr>
              <w:spacing w:after="0"/>
              <w:rPr>
                <w:sz w:val="17"/>
                <w:szCs w:val="17"/>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(65,801)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(69,940)</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(78,994)</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p>
    <w:p>
      <w:pPr>
        <w:ind w:right="560" w:firstLine="374"/>
        <w:spacing w:after="0" w:line="266" w:lineRule="auto"/>
        <w:rPr>
          <w:sz w:val="20"/>
          <w:szCs w:val="20"/>
          <w:color w:val="auto"/>
        </w:rPr>
      </w:pPr>
      <w:r>
        <w:rPr>
          <w:rFonts w:ascii="Times New Roman" w:cs="Times New Roman" w:eastAsia="Times New Roman" w:hAnsi="Times New Roman"/>
          <w:sz w:val="18"/>
          <w:szCs w:val="18"/>
          <w:color w:val="auto"/>
        </w:rPr>
        <w:t>Cash-based compensation expenses increased $9.1 million, or 13%, mostly due to a weakening of the US dollar relative to our primary salary currencies, as well as salary adjustments and an increase in the cost of temporary hires. See Note 4 to our consolidated financial statements included elsewhere in this annual report for additional details of our personnel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Expenses</w:t>
      </w:r>
    </w:p>
    <w:p>
      <w:pPr>
        <w:spacing w:after="0" w:line="202"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Share-based compensation expenses include costs related to restricted share units and options granted under our share incentive plan, related social security contributions, and options granted by Kunlun to our employees. Awards granted by Kunlun are accounted for as equity-settled share-based payments in our consolidated financial statements. We have no obligation to settle awards granted by Kunlun and these awards do not lead to dilution of our shareholders. Share-based compensation expense may be volatile, as it is affected by the fair value of equity awards at grant, the number of awards granted, and the length of vesting periods. The table below presents share-based compensation expenses (in thousands, except for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7"/>
          </w:tcPr>
          <w:p>
            <w:pPr>
              <w:jc w:val="center"/>
              <w:ind w:left="47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17"/>
                <w:szCs w:val="17"/>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 for Opera-granted awards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(10,500)</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(6,846)</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(28,476)</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 for parent-granted awards</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(2,797)</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(16,950)</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(9,718)</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(31,273)</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40" w:firstLine="374"/>
        <w:spacing w:after="0" w:line="261" w:lineRule="auto"/>
        <w:rPr>
          <w:sz w:val="20"/>
          <w:szCs w:val="20"/>
          <w:color w:val="auto"/>
        </w:rPr>
      </w:pPr>
      <w:r>
        <w:rPr>
          <w:rFonts w:ascii="Times New Roman" w:cs="Times New Roman" w:eastAsia="Times New Roman" w:hAnsi="Times New Roman"/>
          <w:sz w:val="18"/>
          <w:szCs w:val="18"/>
          <w:color w:val="auto"/>
        </w:rPr>
        <w:t>Share-based compensation expenses increased $21.6 million, or 222%, from 2024 to 2025, primarily due to the grant of approximately 1.9 million share-equivalent RSUs in early 2025. These awards vest over the 2025–2028 period and largely replaced awards that had completed their vesting cycles. Expense recognition for multi-year grants is front-loaded, resulting in a higher proportion of total expense being recognized in the earlier years of the vesting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Distribution Expenses</w:t>
      </w:r>
    </w:p>
    <w:p>
      <w:pPr>
        <w:spacing w:after="0" w:line="189"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Marketing and distribution expenses consist primarily of performance-based marketing campaigns for our browsers and news platform. We expect these expenses to increase in absolute terms while declining as a percentage of revenue. The table below presents marketing and distribution expenses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7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60" w:type="dxa"/>
            <w:vAlign w:val="bottom"/>
          </w:tcPr>
          <w:p>
            <w:pPr>
              <w:spacing w:after="0"/>
              <w:rPr>
                <w:sz w:val="17"/>
                <w:szCs w:val="17"/>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(109,947)</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(131,951)</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(142,218)</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8"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Marketing and distribution expenses increased by $10.3 million, or 8%, from 2024 to 2025. The increase was primarily driven by expanded marketing and distribution activities in Western markets to target users with greater monetization potential. As a result, expenses related to our browsers increased by $18.6 million, or 16%, to $136.1 million in 2025, with the remaining spend relating to MiniPay and Opera News.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202"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Credit loss expense consists of write-offs of receivables for which there is no reasonable expectation of recovery and changes in provisions for expected credit losses on outstanding balances. Provisions are determined based on specific invoice-level credit risk where identifiable, and otherwise using a provision matrix based on historical loss experience adjusted for forward-looking information. Credit losses are affected by our ability to collect contractual cash flows and the credit risk of our customers, including general market conditions. The table below presents our credit loss expense (in thousands, except for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7"/>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3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7"/>
                <w:szCs w:val="17"/>
                <w:color w:val="auto"/>
              </w:rPr>
            </w:pPr>
          </w:p>
        </w:tc>
        <w:tc>
          <w:tcPr>
            <w:tcW w:w="11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17"/>
                <w:szCs w:val="17"/>
                <w:color w:val="auto"/>
              </w:rPr>
            </w:pPr>
          </w:p>
        </w:tc>
      </w:tr>
      <w:tr>
        <w:trPr>
          <w:trHeight w:val="21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1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(3,967)</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96"/>
              </w:rPr>
              <w:t>NM</w:t>
            </w:r>
          </w:p>
        </w:tc>
        <w:tc>
          <w:tcPr>
            <w:tcW w:w="14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2"/>
        </w:trPr>
        <w:tc>
          <w:tcPr>
            <w:tcW w:w="30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_______________</w:t>
            </w: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0"/>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163"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Our credit loss recovery was $0.7 million in 2025, due to reversals of previous provisions for credit losses on receivables due from certain specific customers in emerging markets as the receivables were ultimately settled, similar to gains realized in 2024. See Note 12 to our consolidated financial statements included elsewhere in this annual report for more information about our credit loss allowance.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02" w:lineRule="exact"/>
        <w:rPr>
          <w:sz w:val="20"/>
          <w:szCs w:val="20"/>
          <w:color w:val="auto"/>
        </w:rPr>
      </w:pPr>
    </w:p>
    <w:p>
      <w:pPr>
        <w:ind w:right="180" w:firstLine="374"/>
        <w:spacing w:after="0" w:line="258" w:lineRule="auto"/>
        <w:rPr>
          <w:sz w:val="20"/>
          <w:szCs w:val="20"/>
          <w:color w:val="auto"/>
        </w:rPr>
      </w:pPr>
      <w:r>
        <w:rPr>
          <w:rFonts w:ascii="Times New Roman" w:cs="Times New Roman" w:eastAsia="Times New Roman" w:hAnsi="Times New Roman"/>
          <w:sz w:val="18"/>
          <w:szCs w:val="18"/>
          <w:color w:val="auto"/>
        </w:rPr>
        <w:t>Depreciation expenses primarily relate to servers, other equipment, and leased office premises, while amortization expenses primarily relate to technology-related assets, including internally developed assets and customer relationship assets recognized in connection with our 2016 acquisition of Opera Norway AS. The amounts of depreciation and amortization are driven by the capital investment levels and the expected useful lives of the related assets. We expect these expenses to increase as we continue to invest in our products and digital infrastructure. The table below presents depreciation and amortization (in thousands, except for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10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7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60" w:type="dxa"/>
            <w:vAlign w:val="bottom"/>
          </w:tcPr>
          <w:p>
            <w:pPr>
              <w:spacing w:after="0"/>
              <w:rPr>
                <w:sz w:val="17"/>
                <w:szCs w:val="17"/>
                <w:color w:val="auto"/>
              </w:rPr>
            </w:pP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(13,165)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(15,582)</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(18,861)</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bl>
    <w:p>
      <w:pPr>
        <w:spacing w:after="0" w:line="198" w:lineRule="exact"/>
        <w:rPr>
          <w:sz w:val="20"/>
          <w:szCs w:val="20"/>
          <w:color w:val="auto"/>
        </w:rPr>
      </w:pPr>
    </w:p>
    <w:p>
      <w:pPr>
        <w:jc w:val="both"/>
        <w:ind w:right="700" w:firstLine="374"/>
        <w:spacing w:after="0" w:line="266" w:lineRule="auto"/>
        <w:rPr>
          <w:sz w:val="20"/>
          <w:szCs w:val="20"/>
          <w:color w:val="auto"/>
        </w:rPr>
      </w:pPr>
      <w:r>
        <w:rPr>
          <w:rFonts w:ascii="Times New Roman" w:cs="Times New Roman" w:eastAsia="Times New Roman" w:hAnsi="Times New Roman"/>
          <w:sz w:val="18"/>
          <w:szCs w:val="18"/>
          <w:color w:val="auto"/>
        </w:rPr>
        <w:t>Depreciation and amortization increased $3.3 million, or 21%, from 2024 to 2025, primarily due to higher depreciation of servers and related infrastructure supporting our AI initiatives, as well as increased amortization of internally developed technology assets. See Notes 9 and 10 to our consolidated financial statements included elsewhere in this annual report for more information about our fixed and intangible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Non-financial Assets</w:t>
      </w:r>
    </w:p>
    <w:p>
      <w:pPr>
        <w:spacing w:after="0" w:line="189"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Impairment of non-financial assets consists of impairment losses recognized on property, equipment, and intangible assets when the recoverable amount of the individual asset or the cash-generating unit to which it belongs is below its carrying amount. The table below presents impairment of non-financial assets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120" w:type="dxa"/>
            <w:vAlign w:val="bottom"/>
            <w:gridSpan w:val="6"/>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7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60" w:type="dxa"/>
            <w:vAlign w:val="bottom"/>
          </w:tcPr>
          <w:p>
            <w:pPr>
              <w:spacing w:after="0"/>
              <w:rPr>
                <w:sz w:val="17"/>
                <w:szCs w:val="17"/>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72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(1,946)</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1619%</w:t>
            </w:r>
          </w:p>
        </w:tc>
      </w:tr>
    </w:tbl>
    <w:p>
      <w:pPr>
        <w:spacing w:after="0" w:line="198"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Impairment of non-financial assets increased $1.8 million, or 1619%, from 2024 to 2025. The impairment charge in 2025 was mostly related to a decline in market values of certain crypto assets we hold in connection with our MiniPay partnerships. See Note 10 to our consolidated financial statements included elsewhere in this annual report for more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89"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Other operating expenses consist primarily of hosting costs, audit and advisory fees, software license fees, office-related expenses, and travel. We expect these expenses to increase in absolute terms while declining as a percentage of revenue. The table below presents other operating expenses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8"/>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4"/>
          </w:tcPr>
          <w:p>
            <w:pPr>
              <w:jc w:val="right"/>
              <w:ind w:right="10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3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17"/>
                <w:szCs w:val="17"/>
                <w:color w:val="auto"/>
              </w:rPr>
            </w:pPr>
          </w:p>
        </w:tc>
      </w:tr>
      <w:tr>
        <w:trPr>
          <w:trHeight w:val="209"/>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(30,842)</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(31,674)</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(31,291)</w:t>
            </w: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ectPr>
          <w:pgSz w:w="11900" w:h="16838" w:orient="portrait"/>
          <w:cols w:equalWidth="0" w:num="1">
            <w:col w:w="11240"/>
          </w:cols>
          <w:pgMar w:left="320" w:top="256" w:right="339"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Our other operating expenses decreased by $0.4 million, or 1%, from 2024 to 2025. The decrease was mostly driven by lower cost of professional services, partially offset by higher costs related to our infrastructure and network. See Note 5 to our consolidated financial statements included elsewhere in this annual report for more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Net Income (Loss) of Equity-accounted Investees</w:t>
      </w:r>
    </w:p>
    <w:p>
      <w:pPr>
        <w:spacing w:after="0" w:line="189"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We have investments in a venture fund operated by Verda Ventures (the “MiniPay fund”) and in nHorizon Innovation, both of which are accounted for under the equity method. The MiniPay fund was formed in the second half of 2024 to invest in companies operating in the stablecoin ecosystem related to our MiniPay platform, and our share of net income or loss reflects the performance of the underlying investments. In 2022, we discontinued recognizing our share of losses from nHorizon Innovation as our cumulative share of losses exceeded our investment balance. Any future profits will be recognized only after previously unrecognized losses have been recovered; however, we do not expect such amounts to be material. The table below presents our share of net income (loss) of equity-accounted investees (in thousands, except for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5080" w:type="dxa"/>
            <w:vAlign w:val="bottom"/>
          </w:tcPr>
          <w:p>
            <w:pPr>
              <w:spacing w:after="0"/>
              <w:rPr>
                <w:sz w:val="17"/>
                <w:szCs w:val="17"/>
                <w:color w:val="auto"/>
              </w:rPr>
            </w:pPr>
          </w:p>
        </w:tc>
        <w:tc>
          <w:tcPr>
            <w:tcW w:w="8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140" w:type="dxa"/>
            <w:vAlign w:val="bottom"/>
          </w:tcPr>
          <w:p>
            <w:pPr>
              <w:spacing w:after="0"/>
              <w:rPr>
                <w:sz w:val="17"/>
                <w:szCs w:val="17"/>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2025 vs. 2024</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of net income (loss) of equity-accounted investees</w:t>
            </w:r>
          </w:p>
        </w:tc>
        <w:tc>
          <w:tcPr>
            <w:tcW w:w="84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6"/>
              </w:rPr>
              <w:t>NM</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6"/>
              </w:rPr>
              <w:t>NM</w:t>
            </w:r>
          </w:p>
        </w:tc>
      </w:tr>
      <w:tr>
        <w:trPr>
          <w:trHeight w:val="202"/>
        </w:trPr>
        <w:tc>
          <w:tcPr>
            <w:tcW w:w="50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_______________</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204"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 2025, our share of the MiniPay fund’s net income was $0.3 million, reflecting unrealized gains recognized by the fund on its investments. Our unrecorded share of nHorizon Innovation’s net loss in 2025 was immaterial. See Note 11 to our consolidated financial statements included elsewhere in this annual report for more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Gain on Long-Term Investments</w:t>
      </w:r>
    </w:p>
    <w:p>
      <w:pPr>
        <w:spacing w:after="0" w:line="202"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Our long-term minority investments in unconsolidated entities over which we do not have significant influence or joint control are accounted for at fair value through profit or loss, with changes in fair value recognized in the statement of operations as fair value gain on long-term investments. This category consists exclusively of our investment in OPay. The fair value of this investment is subject to significant estimation uncertainty, as its future valuation depends on OPay’s financial and operational performance, as well as the macroeconomic conditions within its core markets. The table below presents fair value gains on our long-term investments (in thousands, except for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8"/>
          </w:tcPr>
          <w:p>
            <w:pPr>
              <w:jc w:val="center"/>
              <w:ind w:left="4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4"/>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3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160" w:type="dxa"/>
            <w:vAlign w:val="bottom"/>
          </w:tcPr>
          <w:p>
            <w:pPr>
              <w:spacing w:after="0"/>
              <w:rPr>
                <w:sz w:val="17"/>
                <w:szCs w:val="17"/>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89,838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36,300</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626%</w:t>
            </w:r>
          </w:p>
        </w:tc>
      </w:tr>
    </w:tbl>
    <w:p>
      <w:pPr>
        <w:spacing w:after="0" w:line="198"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In 2025, we recognized an unrealized fair value gain of $36.3 million on our OPay investment, compared to an unrealized gain of $5.0 million in 2024. The fair value gain in 2025 reflected the underlying growth and financial performance of OPay, captured as changes in the probability-weighted expected return model used to estimate fair value. See Note 11 to our consolidated financial statements included elsewhere in this annual report for more details.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Finance Income (Expense)</w:t>
      </w:r>
    </w:p>
    <w:p>
      <w:pPr>
        <w:spacing w:after="0" w:line="18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Finance income primarily consists of interest income earned on cash deposits with financial institutions, while finance expense primarily consists of interest expense on leases of office premises and equipment. Net foreign exchange gain or loss, included in net finance income (expense), reflects gains or losses arising from the settlement and remeasurement of monetary items denominated in currencies other than the functional currency of each subsidiary, including intercompany balances. The table below presents finance income, finance expense and foreign exchange gain (loss) (in thousands, except for percentages):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jc w:val="right"/>
              <w:ind w:right="11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3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17"/>
                <w:szCs w:val="17"/>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(4,108)</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350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(1,424)</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3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01"/>
        </w:trPr>
        <w:tc>
          <w:tcPr>
            <w:tcW w:w="3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93"/>
        </w:trPr>
        <w:tc>
          <w:tcPr>
            <w:tcW w:w="3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-890905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-890905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-890905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-890905</wp:posOffset>
            </wp:positionV>
            <wp:extent cx="1460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-890905</wp:posOffset>
            </wp:positionV>
            <wp:extent cx="14541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2025, net finance expense amounted to $1.4 million while in 2024 finance items netted to an income of $1.2 million. The deterioration was mostly due to foreign exchange losses increasing by $2.3 million, or 123%, to $4.1 million in 2025, largely attributable to exchange differences on intercompany balances. Finance income, comprising interest income on our deposits of cash, totaled $3.3 million, down $0.3 million, or 8% from 2024. Finance expense, mostly comprising interest expense on leases, amounted to $0.6 million in both 2024 and 2025. See Note 6 to our consolidated financial statements included elsewhere in this annual report for more details.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color w:val="auto"/>
        </w:rPr>
        <w:t>Income tax expense consists of current tax based on taxable income in each jurisdiction and deferred tax arising from temporary differences and unused tax losses. A substantial portion of our revenue and operating profit is generated in jurisdictions with stable tax regimes, including Norway, Ireland, and Singapore, with statutory tax rates of 22.0%, 12.5%, and 17.0%, respectively. Gains on our investment in OPay are not taxable to Opera, which is a significant factor contributing to our low effective tax rate. We also recognize tax effects related to equity awards granted to employees, including deferred tax assets based on the estimated future tax deduction measured using our share price at the reporting date. Any tax benefit on market values exceeding the related cumulative share-based compensation expense is recognized directly in equity. The table below presents income tax expense and the effective tax rate (in thousands, except for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7"/>
          </w:tcPr>
          <w:p>
            <w:pPr>
              <w:jc w:val="center"/>
              <w:ind w:left="47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4"/>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2"/>
        </w:trPr>
        <w:tc>
          <w:tcPr>
            <w:tcW w:w="46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10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2025 vs. 2024</w:t>
            </w:r>
          </w:p>
        </w:tc>
        <w:tc>
          <w:tcPr>
            <w:tcW w:w="220" w:type="dxa"/>
            <w:vAlign w:val="bottom"/>
          </w:tcPr>
          <w:p>
            <w:pPr>
              <w:spacing w:after="0"/>
              <w:rPr>
                <w:sz w:val="17"/>
                <w:szCs w:val="17"/>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(6,697)</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(17,642)</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(16,934)</w:t>
            </w: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both"/>
        <w:ind w:right="300" w:firstLine="374"/>
        <w:spacing w:after="0" w:line="266" w:lineRule="auto"/>
        <w:rPr>
          <w:sz w:val="20"/>
          <w:szCs w:val="20"/>
          <w:color w:val="auto"/>
        </w:rPr>
      </w:pPr>
      <w:r>
        <w:rPr>
          <w:rFonts w:ascii="Times New Roman" w:cs="Times New Roman" w:eastAsia="Times New Roman" w:hAnsi="Times New Roman"/>
          <w:sz w:val="18"/>
          <w:szCs w:val="18"/>
          <w:color w:val="auto"/>
        </w:rPr>
        <w:t>The income tax expense decreased $0.7 million, or 4%, from 2024 to 2025, resulting in the effective tax rate also decreasing. The decrease in our effective tax rate was primarily due to the amount of fair value gain on our investment in OPay, which represents tax-exempt income. See Note 7 to our consolidated financial statements included elsewhere in this annual report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Adjusted EBITDA and Adjusted Diluted Earnings per Share</w:t>
      </w:r>
    </w:p>
    <w:p>
      <w:pPr>
        <w:spacing w:after="0" w:line="202"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In addition to financial measures presented in accordance with IFRS Accounting Standards, we use the non-IFRS financial measures adjusted net income, adjusted EBITDA and adjusted diluted earnings per share to manage our business, evaluate performance, support planning and decision-making, and allocate resources. These non-IFRS measures are intended to provide supplemental information by excluding items that we believe are not representative of core business operating performance.</w:t>
      </w:r>
    </w:p>
    <w:p>
      <w:pPr>
        <w:spacing w:after="0" w:line="13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adjusted to exclude (i) profit (loss) from discontinued operations, (ii) gain (loss) on investments in unconsolidated entities, (iii) non-recurring expenses, (iv) impairment of non-financial assets, (v) amortization of acquired intangible assets, (vi) share-based compensation expense, and (vii) the income tax effect of these adjustments. Adjusted net income margin is calculated as adjusted net income divided by revenue. Adjusted diluted earnings per share is calculated as adjusted net income divided by the diluted weighted average number of shares outstanding.</w:t>
      </w:r>
    </w:p>
    <w:p>
      <w:pPr>
        <w:spacing w:after="0" w:line="139" w:lineRule="exact"/>
        <w:rPr>
          <w:sz w:val="20"/>
          <w:szCs w:val="20"/>
          <w:color w:val="auto"/>
        </w:rPr>
      </w:pPr>
    </w:p>
    <w:p>
      <w:pPr>
        <w:jc w:val="both"/>
        <w:ind w:right="60" w:firstLine="374"/>
        <w:spacing w:after="0" w:line="276" w:lineRule="auto"/>
        <w:rPr>
          <w:sz w:val="20"/>
          <w:szCs w:val="20"/>
          <w:color w:val="auto"/>
        </w:rPr>
      </w:pPr>
      <w:r>
        <w:rPr>
          <w:rFonts w:ascii="Times New Roman" w:cs="Times New Roman" w:eastAsia="Times New Roman" w:hAnsi="Times New Roman"/>
          <w:sz w:val="17"/>
          <w:szCs w:val="17"/>
          <w:color w:val="auto"/>
        </w:rPr>
        <w:t>Adjusted EBITDA is defined as net income adjusted to exclude (i) profit (loss) from discontinued operations, (ii) income tax expense, (iii) net finance income (expense), (iv) gain (loss) on long-term investments in unconsolidated entities, (v) non-recurring expenses, (vi) impairment of non-financial assets,</w:t>
      </w:r>
    </w:p>
    <w:p>
      <w:pPr>
        <w:spacing w:after="0" w:line="1" w:lineRule="exact"/>
        <w:rPr>
          <w:sz w:val="20"/>
          <w:szCs w:val="20"/>
          <w:color w:val="auto"/>
        </w:rPr>
      </w:pPr>
    </w:p>
    <w:p>
      <w:pPr>
        <w:ind w:right="220" w:firstLine="8"/>
        <w:spacing w:after="0" w:line="260" w:lineRule="auto"/>
        <w:tabs>
          <w:tab w:leader="none" w:pos="3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(viii) share-based compensation expense, and (ix) other operating income. Adjusted EBITDA margin is calculated as adjusted EBITDA divided by revenue.</w:t>
      </w:r>
    </w:p>
    <w:p>
      <w:pPr>
        <w:spacing w:after="0" w:line="154"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We believe these non-IFRS financial measures are useful to investors because they facilitate period-to-period comparisons of operating performance and are consistent with how management evaluates the business. These measures should not be considered in isolation or as substitutes for, or superior to, the financial information prepared in accordance with IFRS Accounting Standards. Our definitions of adjusted net income, adjusted EBITDA and adjusted diluted earnings per share may differ from similarly titled measures used by other companies. In addition, measures may be limited in their usefulness because they do not present the full economic effects of certain items of income and expenses.</w:t>
      </w:r>
    </w:p>
    <w:p>
      <w:pPr>
        <w:spacing w:after="0" w:line="143"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We address the limitations of these non-IFRS financial measures by providing reconciliations from the most closely comparable IFRS financial measures. Investors are encouraged to review these reconciliations and to consider non-IFRS financial measures together with our IFRS results.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to adjusted net income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108,282</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Fair value (gain) loss on short-term investments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(3,243)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(gain) loss on long-term investments</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(89,838)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(36,300)</w:t>
            </w: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24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(5,444)</w:t>
            </w:r>
          </w:p>
        </w:tc>
      </w:tr>
      <w:tr>
        <w:trPr>
          <w:trHeight w:val="20"/>
        </w:trPr>
        <w:tc>
          <w:tcPr>
            <w:tcW w:w="6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72,284</w:t>
            </w:r>
          </w:p>
        </w:tc>
        <w:tc>
          <w:tcPr>
            <w:tcW w:w="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86,093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102,069</w:t>
            </w:r>
          </w:p>
        </w:tc>
        <w:tc>
          <w:tcPr>
            <w:tcW w:w="100" w:type="dxa"/>
            <w:vAlign w:val="bottom"/>
            <w:shd w:val="clear" w:color="auto" w:fill="CFF0FC"/>
          </w:tcPr>
          <w:p>
            <w:pPr>
              <w:spacing w:after="0"/>
              <w:rPr>
                <w:sz w:val="21"/>
                <w:szCs w:val="21"/>
                <w:color w:val="auto"/>
              </w:rPr>
            </w:pPr>
          </w:p>
        </w:tc>
      </w:tr>
      <w:tr>
        <w:trPr>
          <w:trHeight w:val="201"/>
        </w:trPr>
        <w:tc>
          <w:tcPr>
            <w:tcW w:w="624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-165100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-147955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-165100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-147955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380" w:hanging="372"/>
        <w:spacing w:after="0"/>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gains on short-term investments were included in finance income in the Statement of Operations.</w:t>
      </w:r>
    </w:p>
    <w:p>
      <w:pPr>
        <w:spacing w:after="0" w:line="8" w:lineRule="exact"/>
        <w:rPr>
          <w:rFonts w:ascii="Times New Roman" w:cs="Times New Roman" w:eastAsia="Times New Roman" w:hAnsi="Times New Roman"/>
          <w:sz w:val="16"/>
          <w:szCs w:val="16"/>
          <w:color w:val="auto"/>
        </w:rPr>
      </w:pPr>
    </w:p>
    <w:p>
      <w:pPr>
        <w:ind w:left="380" w:right="20" w:hanging="372"/>
        <w:spacing w:after="0" w:line="288" w:lineRule="auto"/>
        <w:tabs>
          <w:tab w:leader="none" w:pos="3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Non-recurring expenses in 2023 primarily related to audit, legal, and other advisory fees incurred in connection with a secondary public offering of our ADSs by a pre-IPO shareholder. These expenses were included in other operating expenses in the Statement of Operations.</w:t>
      </w:r>
    </w:p>
    <w:p>
      <w:pPr>
        <w:spacing w:after="0" w:line="167"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table is a reconciliation of net income to adjusted EBITDA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80,771</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108,282</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17,642</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16,934</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(1,152)</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1,424</w:t>
            </w: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(89,838)</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(36,300)</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3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Non-recurring expenses</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1,946</w:t>
            </w: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15,582</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18,861</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9,718</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31,273</w:t>
            </w: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income</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(2,367)</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r>
      <w:tr>
        <w:trPr>
          <w:trHeight w:val="210"/>
        </w:trPr>
        <w:tc>
          <w:tcPr>
            <w:tcW w:w="624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93,719</w:t>
            </w: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115,309</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142,530</w:t>
            </w:r>
          </w:p>
        </w:tc>
        <w:tc>
          <w:tcPr>
            <w:tcW w:w="120" w:type="dxa"/>
            <w:vAlign w:val="bottom"/>
            <w:tcBorders>
              <w:top w:val="single" w:sz="8" w:color="CFF0FC"/>
            </w:tcBorders>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-170815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is a reconciliation of diluted earnings per share to adjusted diluted earnings per share: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240" w:type="dxa"/>
            <w:vAlign w:val="bottom"/>
          </w:tcPr>
          <w:p>
            <w:pPr>
              <w:spacing w:after="0"/>
              <w:rPr>
                <w:sz w:val="17"/>
                <w:szCs w:val="17"/>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Fair value (gain) loss on short-term investments</w:t>
            </w: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(gain) loss on long-term investments</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(0.40)</w:t>
            </w: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of net loss of equity-accounted investees</w:t>
            </w:r>
          </w:p>
        </w:tc>
        <w:tc>
          <w:tcPr>
            <w:tcW w:w="9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Non-recurring expenses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effect on adjustments</w:t>
            </w:r>
          </w:p>
        </w:tc>
        <w:tc>
          <w:tcPr>
            <w:tcW w:w="9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r>
      <w:tr>
        <w:trPr>
          <w:trHeight w:val="20"/>
        </w:trPr>
        <w:tc>
          <w:tcPr>
            <w:tcW w:w="6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98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FF0FC"/>
          </w:tcPr>
          <w:p>
            <w:pPr>
              <w:spacing w:after="0"/>
              <w:rPr>
                <w:sz w:val="19"/>
                <w:szCs w:val="19"/>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B.</w:t>
        <w:tab/>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cash generated from our operating activities. As of December 31, 2025, we had $155.5 million in cash and cash equivalents, comprising of cash on deposit with banks and limited holdings of stablecoins, primarily denominated in U.S. dollars, with limited amounts held in euros, Norwegian kroner and other local</w:t>
      </w:r>
    </w:p>
    <w:p>
      <w:pPr>
        <w:sectPr>
          <w:pgSz w:w="11900" w:h="16838" w:orient="portrait"/>
          <w:cols w:equalWidth="0" w:num="1">
            <w:col w:w="11240"/>
          </w:cols>
          <w:pgMar w:left="320" w:top="256"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currencies of the markets where we operate. As part of our cash management strategy, we concentrate cash deposits with large financial institutions.</w:t>
      </w:r>
    </w:p>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2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880" w:type="dxa"/>
            <w:vAlign w:val="bottom"/>
            <w:shd w:val="clear" w:color="auto" w:fill="CFF0FC"/>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117,728</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 from (used in) investing activities</w:t>
            </w:r>
          </w:p>
        </w:tc>
        <w:tc>
          <w:tcPr>
            <w:tcW w:w="8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8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(27,112)</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(14,451)</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 used in financing activities</w:t>
            </w:r>
          </w:p>
        </w:tc>
        <w:tc>
          <w:tcPr>
            <w:tcW w:w="880" w:type="dxa"/>
            <w:vAlign w:val="bottom"/>
            <w:shd w:val="clear" w:color="auto" w:fill="CFF0FC"/>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7"/>
              </w:rPr>
              <w:t>(59,843)</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(42,146)</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(76,552)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8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Net cash flow from operating activities was $117.7 million in 2025. Operating profit of $90.1 million, adjusted for non-cash items such as depreciation, amortization and share-based compensation totaling $50.4 million, contributed $140.4 million, which was partially offset by changes in items of working capital such as trade receivables and payables totaling $9.9 million. Income taxes paid in 2025 amounted to $12.9 million.</w:t>
      </w:r>
    </w:p>
    <w:p>
      <w:pPr>
        <w:spacing w:after="0" w:line="135"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increase in net cash flow from operating activities during 2025 compared to 2024 of $12.8 million, was due to an increase in cash collection from customers driven by the increases in advertising and query revenues, partially offset by a higher amount of cash paid for operational spending.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and Used in Investing Activities</w:t>
      </w:r>
    </w:p>
    <w:p>
      <w:pPr>
        <w:spacing w:after="0" w:line="18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2025 mostly consisted of $5.5 million spent on purchases of property and equipment, and $9.7 million spent on the development of new products and services.</w:t>
      </w:r>
    </w:p>
    <w:p>
      <w:pPr>
        <w:spacing w:after="0" w:line="121" w:lineRule="exact"/>
        <w:rPr>
          <w:sz w:val="20"/>
          <w:szCs w:val="20"/>
          <w:color w:val="auto"/>
        </w:rPr>
      </w:pPr>
    </w:p>
    <w:p>
      <w:pPr>
        <w:ind w:right="440" w:firstLine="374"/>
        <w:spacing w:after="0" w:line="282" w:lineRule="auto"/>
        <w:rPr>
          <w:sz w:val="20"/>
          <w:szCs w:val="20"/>
          <w:color w:val="auto"/>
        </w:rPr>
      </w:pPr>
      <w:r>
        <w:rPr>
          <w:rFonts w:ascii="Times New Roman" w:cs="Times New Roman" w:eastAsia="Times New Roman" w:hAnsi="Times New Roman"/>
          <w:sz w:val="18"/>
          <w:szCs w:val="18"/>
          <w:color w:val="auto"/>
        </w:rPr>
        <w:t>In 2024, investing activities mostly consisted of $23.3 million on purchases of property and equipment, including $19.1 million spent on AI data center infrastructure, and $7.3 million on the development of new products and services.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89"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during 2025 mostly consisted of dividend payments totaling $71.2 million and to a lesser extent payments of lease liabilities of $4.8 million.</w:t>
      </w:r>
    </w:p>
    <w:p>
      <w:pPr>
        <w:spacing w:after="0" w:line="121"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In 2024, cash dividend payments were lower at $37.4 million due to $33.0 million of dividends being offset against a receivable that was due from Kunlun from the sale of Opera’s former ownership interest in Star X. Payments of lease liabilities amounted to $4.2 million in 2024. In total, cash used in financing activities was $34.4 million higher in 2025 compared to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From Operations</w:t>
      </w:r>
    </w:p>
    <w:p>
      <w:pPr>
        <w:spacing w:after="0" w:line="18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In addition to net cash flow from operating activities presented in accordance with IFRS Accounting Standards, we use free cash flow from operations as a supplemental measure to evaluate our operating performance and cash generation. We define free cash flow from operations as net cash flows from operating activities less (i) purchases of fixed and intangible assets, (ii) development expenditure and (iii) payment of lease liabilities.</w:t>
      </w:r>
    </w:p>
    <w:p>
      <w:pPr>
        <w:spacing w:after="0" w:line="135"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Free cash flow from operations does not represent residual cash available for discretionary uses. We believe, however, that it provides useful supplemental information regarding our ability to generate cash from ongoing operations to fund investments, including acquisitions, and to support capital allocation decisions.</w:t>
      </w:r>
    </w:p>
    <w:p>
      <w:pPr>
        <w:spacing w:after="0" w:line="14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Free cash flow from operations should not be considered in isolation or as a substitute for, or superior to, net cash flows from operating activities or other measures prepared in accordance with IFRS Accounting Standards. Our definition may differ from similarly titled measures used by other companies. We address the limitations of this non-IFRS financial measure by providing a reconciliation to net cash flow from operating activities, the most directly comparable IFRS measure, and investors are encouraged to consider this measure together with our IFRS cash flow information.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reconciles net cash flow from operating activities to free cash flow from operations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 from operating activities</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117,728</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(Deduct):</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(23,344)</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(5,546)</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9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9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(4,281)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(7,263)</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(9,699)</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9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(4,776)</w:t>
            </w:r>
          </w:p>
        </w:tc>
      </w:tr>
      <w:tr>
        <w:trPr>
          <w:trHeight w:val="20"/>
        </w:trPr>
        <w:tc>
          <w:tcPr>
            <w:tcW w:w="6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Free cash flow from operations</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72,451</w:t>
            </w:r>
          </w:p>
        </w:tc>
        <w:tc>
          <w:tcPr>
            <w:tcW w:w="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97,707</w:t>
            </w:r>
          </w:p>
        </w:tc>
        <w:tc>
          <w:tcPr>
            <w:tcW w:w="100" w:type="dxa"/>
            <w:vAlign w:val="bottom"/>
            <w:shd w:val="clear" w:color="auto" w:fill="CFF0FC"/>
          </w:tcPr>
          <w:p>
            <w:pPr>
              <w:spacing w:after="0"/>
              <w:rPr>
                <w:sz w:val="19"/>
                <w:szCs w:val="19"/>
                <w:color w:val="auto"/>
              </w:rPr>
            </w:pP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-25400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Material Cash Requirements</w:t>
      </w:r>
    </w:p>
    <w:p>
      <w:pPr>
        <w:spacing w:after="0" w:line="18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expect that our existing cash and cash equivalents, together with cash flows from operations, will be sufficient to fund our operating activities and cash commitments for investing and financing activities, including dividends and share repurchases, for at least the next 12 months and thereafter for the foreseeable future. We continuously evaluate our liquidity and capital resources, including our access to external capital and potential realization of strategic investments, to ensure we can finance our future capital requirements.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0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June 2023, our Board of Directors adopted a recurring semi-annual cash dividend program. Beginning with an initial distribution of $0.40 per ADS in July 2023, we have consistently paid cash dividends in that amount every January and July. Portions of dividends payable on the ordinary shares held by Kunlun, amounting to $25.1 million in 2023 and $33.0 million in 2024, were not paid in cash but were offset against a receivable from the 2022 sale of Star X shares. In 2025, total cash dividends amounted to $71.2 million.</w:t>
      </w:r>
    </w:p>
    <w:p>
      <w:pPr>
        <w:spacing w:after="0" w:line="139" w:lineRule="exact"/>
        <w:rPr>
          <w:sz w:val="20"/>
          <w:szCs w:val="20"/>
          <w:color w:val="auto"/>
        </w:rPr>
      </w:pPr>
    </w:p>
    <w:p>
      <w:pPr>
        <w:ind w:right="260" w:firstLine="374"/>
        <w:spacing w:after="0" w:line="312" w:lineRule="auto"/>
        <w:rPr>
          <w:sz w:val="20"/>
          <w:szCs w:val="20"/>
          <w:color w:val="auto"/>
        </w:rPr>
      </w:pPr>
      <w:r>
        <w:rPr>
          <w:rFonts w:ascii="Times New Roman" w:cs="Times New Roman" w:eastAsia="Times New Roman" w:hAnsi="Times New Roman"/>
          <w:sz w:val="17"/>
          <w:szCs w:val="17"/>
          <w:color w:val="auto"/>
        </w:rPr>
        <w:t>We intend to continue paying semi-annual dividends; however, the declaration, timing and amount of any future dividends remain subject to Board approval and will depend on our financial condition, results of operations, capital requirements, contractual restrictions and other relevant factors.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02"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On February 26, 2026, our Board of Directors authorized a new share repurchase program of up to $300 million, executable over a two-year period. While this program represents a potential material use of capital, it is entirely discretionary and does not impose a legally binding contractual obligation on the company to acquire any specific volume of shares or expend the full authorized amount.</w:t>
      </w:r>
    </w:p>
    <w:p>
      <w:pPr>
        <w:spacing w:after="0" w:line="135"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We anticipate funding these repurchases, which will include both ADSs from the open market and pro-rata purchases of ordinary shares from our majority shareholder, through our ongoing cash generation and existing strong cash balances. We believe our current liquidity position is highly robust and sufficient to support this program without compromising our ability to fund day-to-day operations, working capital needs, strategic growth investments, or our continued commitment to our semi-annual recurring dividend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02"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Our capital expenditures primarily relate to technical infrastructure, including servers and network equipment, to support our computing, storage, and networking needs, including for AI-related initiatives. In addition, we invest in developing and enhancing our software products, which is primarily reflected in operating expenses rather than capital expenditures.</w:t>
      </w:r>
    </w:p>
    <w:p>
      <w:pPr>
        <w:spacing w:after="0" w:line="135" w:lineRule="exact"/>
        <w:rPr>
          <w:sz w:val="20"/>
          <w:szCs w:val="20"/>
          <w:color w:val="auto"/>
        </w:rPr>
      </w:pPr>
    </w:p>
    <w:p>
      <w:pPr>
        <w:jc w:val="both"/>
        <w:ind w:right="460" w:firstLine="374"/>
        <w:spacing w:after="0" w:line="266" w:lineRule="auto"/>
        <w:rPr>
          <w:sz w:val="20"/>
          <w:szCs w:val="20"/>
          <w:color w:val="auto"/>
        </w:rPr>
      </w:pPr>
      <w:r>
        <w:rPr>
          <w:rFonts w:ascii="Times New Roman" w:cs="Times New Roman" w:eastAsia="Times New Roman" w:hAnsi="Times New Roman"/>
          <w:sz w:val="18"/>
          <w:szCs w:val="18"/>
          <w:color w:val="auto"/>
        </w:rPr>
        <w:t>During 2024 and 2025, our capital expenditures were $30.6 million and $15.2 million, respectively. The higher level spending in 2024 primarily reflected the acquisition of an AI data cluster for $19.1 million. We do not expect to make similarly significant investments in AI data clusters in the foreseeable future, and therefore consider the 2025 level to be a better baseline for future capital expenditures.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02" w:lineRule="exact"/>
        <w:rPr>
          <w:sz w:val="20"/>
          <w:szCs w:val="20"/>
          <w:color w:val="auto"/>
        </w:rPr>
      </w:pPr>
    </w:p>
    <w:p>
      <w:pPr>
        <w:jc w:val="both"/>
        <w:ind w:right="40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our contractual obligations for which we had recognized financial liabilities, such as trade payables and leases, totaled $112.8 million, of which $108.0 million is due to be paid during 2026. See Note 15 to our consolidated financial statements included elsewhere in this annual report for additional information on our financial liabilities, including maturity profiles, and liquidity risk management.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 addition, as of December 31, 2025, we had the following contractual commitments:</w:t>
      </w:r>
    </w:p>
    <w:p>
      <w:pPr>
        <w:spacing w:after="0" w:line="198" w:lineRule="exact"/>
        <w:rPr>
          <w:sz w:val="20"/>
          <w:szCs w:val="20"/>
          <w:color w:val="auto"/>
        </w:rPr>
      </w:pPr>
    </w:p>
    <w:p>
      <w:pPr>
        <w:ind w:left="760" w:right="280" w:hanging="378"/>
        <w:spacing w:after="0" w:line="312" w:lineRule="auto"/>
        <w:tabs>
          <w:tab w:leader="none" w:pos="76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commitment to make five quarterly investments of $1.25 million, or $6.25 million in total, in the MiniPay Fund, a venture fund established and managed by Verda Ventures to invest in companies operating in the stablecoin ecosystem associated with our MiniPay platform.</w:t>
      </w:r>
    </w:p>
    <w:p>
      <w:pPr>
        <w:spacing w:after="0" w:line="99" w:lineRule="exact"/>
        <w:rPr>
          <w:rFonts w:ascii="Times New Roman" w:cs="Times New Roman" w:eastAsia="Times New Roman" w:hAnsi="Times New Roman"/>
          <w:sz w:val="17"/>
          <w:szCs w:val="17"/>
          <w:color w:val="auto"/>
        </w:rPr>
      </w:pPr>
    </w:p>
    <w:p>
      <w:pPr>
        <w:ind w:left="760" w:right="180" w:hanging="378"/>
        <w:spacing w:after="0" w:line="266" w:lineRule="auto"/>
        <w:tabs>
          <w:tab w:leader="none" w:pos="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commitment under our strategic partnership agreement with AP Grant Foundation Company to purchase CELO tokens for $0.25 million per quarter through the first quarter of 2029, subject to a one-year contractual lock-up on each purchase. In March 2026, as part of a broader amendment to this partnership agreement, our ongoing purchase obligation was removed.</w:t>
      </w:r>
    </w:p>
    <w:p>
      <w:pPr>
        <w:spacing w:after="0" w:line="13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Patents and Licenses, etc.</w:t>
      </w:r>
    </w:p>
    <w:p>
      <w:pPr>
        <w:spacing w:after="0" w:line="20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See “Item 4. Information on the Company—B. Business Overview—Technology.” and “Item 4. Information on the Company—B. Business Overview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w:t>
      </w:r>
    </w:p>
    <w:p>
      <w:pPr>
        <w:spacing w:after="0" w:line="162"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89"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during the year ended December 31, 2025, that are reasonably likely to materially affect our revenues, income, profitability, liquidity or capital resources, or to cause our historical results not to be indicative of future operating results or financial condition.</w:t>
      </w:r>
    </w:p>
    <w:p>
      <w:pPr>
        <w:spacing w:after="0" w:line="64"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Note 2 to our consolidated financial statements included elsewhere in this annual report provides an overview of our significant accounting judgments and sources of estimation uncertainty. For the purposes of this operating and financial review, we have identified the fair value measurement of our investment in OPay as our sole critical accounting estimate. This designation is based on the high degree of subjective judgment required and the fact that changes in this estimate have had, or are reasonably likely to have, a material impact on our financial condition and results of operations.</w:t>
      </w:r>
    </w:p>
    <w:p>
      <w:pPr>
        <w:spacing w:after="0" w:line="139"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We hold a 9.5% ownership interest in OPay, a privately-held fintech company operating in emerging markets across Africa and Asia. This investment is measured at fair value through profit or loss. Because OPay is a private entity with no active market for its shares, we estimate its fair value using a probability-weighted expected return method (“PWERM”). This Level 3 valuation methodology requires us to make highly subjective assumptions regarding future events that are inherently uncertain.</w:t>
      </w:r>
    </w:p>
    <w:p>
      <w:pPr>
        <w:spacing w:after="0" w:line="139"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Our PWERM valuation incorporates multiple potential exit scenarios, including initial public offerings, private sales, dissolution, and redemption, reflecting the economic rights of different share classes. The most significant unobservable inputs requiring our judgment include:</w:t>
      </w:r>
    </w:p>
    <w:p>
      <w:pPr>
        <w:spacing w:after="0" w:line="135" w:lineRule="exact"/>
        <w:rPr>
          <w:sz w:val="20"/>
          <w:szCs w:val="20"/>
          <w:color w:val="auto"/>
        </w:rPr>
      </w:pPr>
    </w:p>
    <w:p>
      <w:pPr>
        <w:ind w:left="760" w:right="58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subjective weights assigned to each potential exit outcome, representing our estimate of the likelihood of each specific liquidity event occurring;</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equity values, ranging from $0.2 billion to $6.0 billion across various scenarios;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time to a liquidity event, currently projected between nine months and two years;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rate (cost of equity), applied to calculate the present value of the future outcomes, estimated at 18.5% for 2025; and</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discount for lack of marketability of 10% applied to account for the illiquidity of OPay’s private shares.</w:t>
      </w:r>
    </w:p>
    <w:p>
      <w:pPr>
        <w:spacing w:after="0" w:line="185"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To corroborate our PWERM results, we also utilize a discounted cash flow analysis, which relies on further estimates including projected revenue growth (assumed at 39% over the 2025-2031 period) and a terminal growth rate (6%).</w:t>
      </w:r>
    </w:p>
    <w:p>
      <w:pPr>
        <w:spacing w:after="0" w:line="135"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The fair value of our OPay investment is highly sensitive to changes in these unobservable inputs. The estimation uncertainty is elevated by OPay’s operation in emerging markets and the broader macroeconomic environment impacting the fintech sector. During the year ended December 31, 2025, the probability-weighted present value of the scenarios increased from $3.0 billion to $3.4 billion, driven by improved operating profitability expectations and a slight decrease in our estimated cost of equity from 18.9% in 2024 to 18.5% in 2025, and revised estimates indicating that potential liquidity events are closer in time compared to our estimates at the end of 2024, which reduces the discounting period.</w:t>
      </w:r>
    </w:p>
    <w:p>
      <w:pPr>
        <w:spacing w:after="0" w:line="143"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While changes in this fair value estimate do not directly impact our short-term liquidity, even minor adjustments to the expected timing of an exit event, the probability weights we assign to the scenarios, or the discount rates could result in a materially different fair value. Any such remeasurement is recognized directly in profit or loss, which could cause substantial volatility in our reported earnings and total equity (see “Item 3. Key Information—D. Risk Factors—Risks Related to Financial Reporting and Information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Disclosure—The valuation of our OPay investment is highly uncertain and may result in material volatility in our results of operations.”) For a detailed quantitative sensitivity analysis of these unobservable inputs, see Note 11 to our consolidated financial statements included elsewhere in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85"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and Senior Management</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information regarding our directors and executive officers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0"/>
        </w:trPr>
        <w:tc>
          <w:tcPr>
            <w:tcW w:w="4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Yahui Zhou</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5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Lin Song</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45</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Xiaoling Qian</w:t>
            </w:r>
          </w:p>
        </w:tc>
        <w:tc>
          <w:tcPr>
            <w:tcW w:w="14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37</w:t>
            </w:r>
          </w:p>
        </w:tc>
        <w:tc>
          <w:tcPr>
            <w:tcW w:w="5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Tian Jin</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46</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Lori Wheeler Næss</w:t>
            </w:r>
          </w:p>
        </w:tc>
        <w:tc>
          <w:tcPr>
            <w:tcW w:w="14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55</w:t>
            </w:r>
          </w:p>
        </w:tc>
        <w:tc>
          <w:tcPr>
            <w:tcW w:w="5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Trond Riiber Knudsen</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61</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Jian Liu</w:t>
            </w:r>
          </w:p>
        </w:tc>
        <w:tc>
          <w:tcPr>
            <w:tcW w:w="14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53</w:t>
            </w:r>
          </w:p>
        </w:tc>
        <w:tc>
          <w:tcPr>
            <w:tcW w:w="55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Frode Jacobsen</w:t>
            </w:r>
          </w:p>
        </w:tc>
        <w:tc>
          <w:tcPr>
            <w:tcW w:w="14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43</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75"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Yahui Zhou </w:t>
      </w:r>
      <w:r>
        <w:rPr>
          <w:rFonts w:ascii="Times New Roman" w:cs="Times New Roman" w:eastAsia="Times New Roman" w:hAnsi="Times New Roman"/>
          <w:sz w:val="18"/>
          <w:szCs w:val="18"/>
          <w:color w:val="auto"/>
        </w:rPr>
        <w:t>has served as the chairman of our Board of Directors since July 2016 and was appointed executive chairman in October 2025. 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our chief executive officer from July 2016 until October 2025. In his role as executive chairman, Mr. Zhou guides our strategic direction and oversees major strategic initiatives and investments. He also regularly reviews operating and financial performance and makes decisions regarding the allocation of resources across our business. Mr. Zhou is the controlling shareholder of Kunlun Tech Co., Ltd. (300418:CH), a global internet company listed on the Shenzhen Stock Exchange, and had served as a director from April 2020 to May 2021, the chairman of the board from March 2011 to April 2020, and an executive director and general manager from March 2008 to March 2011 in Kunlun. Prior to that, he served as general manager of Beijing JiNaiTe Internet Technology Co., Ltd. from March 2007 to March 2008. From November 2005 to March 2007, Mr. Zhou was an executive officer in charge of new business development at RenRen Inc. (which was renamed to Moatable, Inc. in June 2023), a NYSE-listed company. From September 2000 to January 2004, Mr. Zhou was general manager of Beijing Huoshen Technology Co., Ltd. Mr. Zhou received his bachelor’s degree in mechanical engineering and his master’s degree in optical engineering from Tsinghua University in 1999 and 2006, respectively</w:t>
      </w:r>
      <w:r>
        <w:rPr>
          <w:rFonts w:ascii="Times New Roman" w:cs="Times New Roman" w:eastAsia="Times New Roman" w:hAnsi="Times New Roman"/>
          <w:sz w:val="18"/>
          <w:szCs w:val="18"/>
          <w:b w:val="1"/>
          <w:bCs w:val="1"/>
          <w:i w:val="1"/>
          <w:iCs w:val="1"/>
          <w:color w:val="auto"/>
        </w:rPr>
        <w:t>.</w:t>
      </w:r>
    </w:p>
    <w:p>
      <w:pPr>
        <w:spacing w:after="0" w:line="158"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Lin Song </w:t>
      </w:r>
      <w:r>
        <w:rPr>
          <w:rFonts w:ascii="Times New Roman" w:cs="Times New Roman" w:eastAsia="Times New Roman" w:hAnsi="Times New Roman"/>
          <w:sz w:val="18"/>
          <w:szCs w:val="18"/>
          <w:color w:val="auto"/>
        </w:rPr>
        <w:t>has served as our chief executive officer since October 2025 and as a member of our Board of Directors since October 2022. He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co-chief executive officer from August 2020 until October 2025 and as our chief operating officer from March 2017 to August 2020. Mr. Song joined our group in 2002 in Oslo, Norway, and has held various leadership roles, including project manager for our early mobile web browsing initiatives and director of engineering delivery. Later on, he served as general manager of Opera’s subsidiary in China and assisted in the establishment of Opera’s R&amp;D center in Beijing. Mr. Song also served as a director of Otello Corporation ASA (OSE: OTEC), a Norwegian internet company, from June 2020 until January 2025, rejoining the Otello board in June 2025. Mr. Song obtained a bachelor’s degree in information systems from the University of International Business and Economics in 2004.</w:t>
      </w:r>
    </w:p>
    <w:p>
      <w:pPr>
        <w:spacing w:after="0" w:line="142" w:lineRule="exact"/>
        <w:rPr>
          <w:sz w:val="20"/>
          <w:szCs w:val="20"/>
          <w:color w:val="auto"/>
        </w:rPr>
      </w:pPr>
    </w:p>
    <w:p>
      <w:pPr>
        <w:jc w:val="both"/>
        <w:ind w:right="34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Xiaoling Qian </w:t>
      </w:r>
      <w:r>
        <w:rPr>
          <w:rFonts w:ascii="Times New Roman" w:cs="Times New Roman" w:eastAsia="Times New Roman" w:hAnsi="Times New Roman"/>
          <w:sz w:val="18"/>
          <w:szCs w:val="18"/>
          <w:color w:val="auto"/>
        </w:rPr>
        <w:t>has been a member of our Board of Directors since June 2021. Ms. Qian is an executive of Kunlun Tech. Co., Ltd. (300418:CH),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internet company listed on the Shenzhen Stock Exchange. Ms. Qian has taken a leading role in managing Kunlun’s investment in Opera and has worked with our other board members and the Opera management team since 2016. Ms. Qian obtained a bachelor’s degree in Japanese from Zhejiang University of Technology in 2010.</w:t>
      </w:r>
    </w:p>
    <w:p>
      <w:pPr>
        <w:spacing w:after="0" w:line="136" w:lineRule="exact"/>
        <w:rPr>
          <w:sz w:val="20"/>
          <w:szCs w:val="20"/>
          <w:color w:val="auto"/>
        </w:rPr>
      </w:pPr>
    </w:p>
    <w:p>
      <w:pPr>
        <w:ind w:right="40"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Tian Jin </w:t>
      </w:r>
      <w:r>
        <w:rPr>
          <w:rFonts w:ascii="Times New Roman" w:cs="Times New Roman" w:eastAsia="Times New Roman" w:hAnsi="Times New Roman"/>
          <w:sz w:val="18"/>
          <w:szCs w:val="18"/>
          <w:color w:val="auto"/>
        </w:rPr>
        <w:t>was a member of our Board of Directors from December 2019 until June 2021, rejoining our Board of Directors in October 2022. Mr. Jin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held positions of the vice general manager and secretary of the board of Kunlun Tech Co., Ltd. (300418:CH), a global internet company listed on the Shenzhen Stock Exchange, from 2015 to 2018, the general manager since July 2020 to May 2021, and has been serving as a director since November 2018 and chairman of the board since July 2020. Prior to that, Mr. Jin had six years of experience in the banking industry. He held the positions of vice president of the customer development department of Nanjing Bank Beijing branch from 2010 to 2011 and vice president of the bank’s Beichuan sub-branch from 2011 to 2015, and he also served as a key account manager of Agricultural Bank of China Beijing branch from 2009 to 2010. Before that, Mr. Jin worked at Heyi Ceramics (Shanghai) Co., Ltd., a high-end ceramics manufacturing company, where he served as the managing director and supervisor from 2000 to 2009. Mr. Jin received his bachelor’s degree in marketing management from Upper Iowa University in 2006.</w:t>
      </w:r>
    </w:p>
    <w:p>
      <w:pPr>
        <w:spacing w:after="0" w:line="158" w:lineRule="exact"/>
        <w:rPr>
          <w:sz w:val="20"/>
          <w:szCs w:val="20"/>
          <w:color w:val="auto"/>
        </w:rPr>
      </w:pPr>
    </w:p>
    <w:p>
      <w:pPr>
        <w:ind w:right="140" w:firstLine="37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Lori Wheeler N</w:t>
      </w:r>
      <w:r>
        <w:rPr>
          <w:rFonts w:ascii="Times New Roman" w:cs="Times New Roman" w:eastAsia="Times New Roman" w:hAnsi="Times New Roman"/>
          <w:sz w:val="18"/>
          <w:szCs w:val="18"/>
          <w:color w:val="auto"/>
        </w:rPr>
        <w:t>æ</w:t>
      </w:r>
      <w:r>
        <w:rPr>
          <w:rFonts w:ascii="Times New Roman" w:cs="Times New Roman" w:eastAsia="Times New Roman" w:hAnsi="Times New Roman"/>
          <w:sz w:val="18"/>
          <w:szCs w:val="18"/>
          <w:b w:val="1"/>
          <w:bCs w:val="1"/>
          <w:i w:val="1"/>
          <w:iCs w:val="1"/>
          <w:color w:val="auto"/>
        </w:rPr>
        <w:t xml:space="preserve">ss </w:t>
      </w:r>
      <w:r>
        <w:rPr>
          <w:rFonts w:ascii="Times New Roman" w:cs="Times New Roman" w:eastAsia="Times New Roman" w:hAnsi="Times New Roman"/>
          <w:sz w:val="18"/>
          <w:szCs w:val="18"/>
          <w:color w:val="auto"/>
        </w:rPr>
        <w:t>has served as our independent director since July 2018. She has served as a director of the technical department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PricewaterhouseCoopers, a global auditing service provider, leading IFRS reviews for companies listed in Oslo from September 2012 to June 2015. Prior to that, Ms. Næss served as a senior advisor of the Section for Prospectuses and Financial Reporting of The Financial Supervisory Authority of Norway, a Norwegian government agency responsible for the supervision of financial companies from January 2011 to September 2012. She served as an audit director and manager for U.S. GAAP and SEC Reporting at PricewaterhouseCoopers and its predecessor Coopers &amp; Lybrand at various offices in the United States, Norway and</w:t>
      </w:r>
    </w:p>
    <w:p>
      <w:pPr>
        <w:sectPr>
          <w:pgSz w:w="11900" w:h="16838" w:orient="portrait"/>
          <w:cols w:equalWidth="0" w:num="1">
            <w:col w:w="11240"/>
          </w:cols>
          <w:pgMar w:left="320" w:top="256"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Germany from September 1994 to January 2011. Ms. Næss has also served as a board member and the audit committee chair of Golar LNG Limited, a Nasdaq-listed liquefied natural gas shipping company since March 2016 and served on its Nasdaq-listed limited partner, Golar LNG Partners Limited, from March 2016 until April 2021. Ms. Næss has also served as a board member and the audit committee chair of 2020 Bulkers Ltd., a shipping company listed on the Oslo Stock Exchange since September 2024. Ms. Næss also served as a board member at Klaveness Combination Carriers ASA from January 2019 to April 2021, a shipping company listed on the Oslo Stock Exchange in Norway. Ms. Næss is a U.S. Certified Public Accountant (inactive). She received her bachelor’s degree in business administration in 1994 and her master’s degree in accounting in 1994 from the University of Michigan.</w:t>
      </w:r>
    </w:p>
    <w:p>
      <w:pPr>
        <w:spacing w:after="0" w:line="156" w:lineRule="exact"/>
        <w:rPr>
          <w:sz w:val="20"/>
          <w:szCs w:val="20"/>
          <w:color w:val="auto"/>
        </w:rPr>
      </w:pPr>
    </w:p>
    <w:p>
      <w:pPr>
        <w:ind w:right="160" w:firstLine="37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Trond Riiber Knudsen </w:t>
      </w:r>
      <w:r>
        <w:rPr>
          <w:rFonts w:ascii="Times New Roman" w:cs="Times New Roman" w:eastAsia="Times New Roman" w:hAnsi="Times New Roman"/>
          <w:sz w:val="18"/>
          <w:szCs w:val="18"/>
          <w:color w:val="auto"/>
        </w:rPr>
        <w:t>has served as our independent director since July 2018. Mr. Knudsen has served as the founder and CEO of TRK Group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Oslo-based investment and advisory firm since June 2015. He worked at McKinsey &amp; Company, a management consulting firm and served as a senior partner with responsibility for the company’s marketing and sales practice from August 1992 to June 2015. Mr. Knudsen received his sivilingeniør (equivalent of a Master of Science degree) in structural engineering from the Norwegian University of Science and Technology in 1987 and a master’s degree in business administration from Harvard University in 1992.</w:t>
      </w:r>
    </w:p>
    <w:p>
      <w:pPr>
        <w:spacing w:after="0" w:line="139"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Jian Liu </w:t>
      </w:r>
      <w:r>
        <w:rPr>
          <w:rFonts w:ascii="Times New Roman" w:cs="Times New Roman" w:eastAsia="Times New Roman" w:hAnsi="Times New Roman"/>
          <w:sz w:val="18"/>
          <w:szCs w:val="18"/>
          <w:color w:val="auto"/>
        </w:rPr>
        <w:t>has served as our independent director since July 2019. Mr. Liu had over 20 years of experience with China’s high growth internet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technologies companies. Mr. Liu served as an executive director from January 2008 and chief operating officer from 2006 to 2024 of Moatable, Inc. (formerly RenRen Inc.), a NYSE-listed company. Prior to that, in September 2003, he founded UUME.com (which was later acquired by RenRen in May 2005), one of the earliest social networking service websites in China. Previously, from February 2002 to August 2003, Mr. Liu served as the founding product management director at Fortinet (NASDAQ: FTNT), a Nasdaq-listed network security solution provider. From July 2000 to January 2002, he served as a product manager at Siebel Systems Inc., a U.S. software company. Mr. Liu started his career as a management consultant at Boston Consulting Group in China from September 1995 to August 1998. Mr. Liu earned his bachelor’s degree in computer science from Shanghai Jiao Tong University in 1995 and later received his MBA degree from Stanford University in 2000.</w:t>
      </w:r>
    </w:p>
    <w:p>
      <w:pPr>
        <w:spacing w:after="0" w:line="144"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Frode Jacobsen </w:t>
      </w:r>
      <w:r>
        <w:rPr>
          <w:rFonts w:ascii="Times New Roman" w:cs="Times New Roman" w:eastAsia="Times New Roman" w:hAnsi="Times New Roman"/>
          <w:sz w:val="18"/>
          <w:szCs w:val="18"/>
          <w:color w:val="auto"/>
        </w:rPr>
        <w:t>has served as the chief financial officer of our group since April 2016. Prior to becoming our chief financial officer, he worked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responsible for strategic initiatives beginning in February 2015 and as the senior director for corporate development beginning in January 2013. Prior to joining our group, Mr. Jacobsen worked for McKinsey &amp; Company, a management consulting firm which conducts qualitative and quantitative analyses to inform management decisions across the public and private sectors, beginning in August 2008, and served as engagement manager before he left the position in January 2013. Mr. Jacobsen had served as a director of Otello Corporation ASA (OSE: OTEC), a Norwegian internet company, from December 2016 to June 2020. He graduated with a master’s degree in management from HEC Paris in 2008 and obtained his bachelor’s degree in economics and business administration from Norwegian School of Economics in 2006.</w:t>
      </w:r>
    </w:p>
    <w:p>
      <w:pPr>
        <w:spacing w:after="0" w:line="183"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8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For the fiscal years ended December 31, 2023, 2024 and 2025, we paid aggregate cash compensation and benefits of approximately $2.6 million, $2.2 million and $3.9 million, respectively, to our directors and executive officers. These amounts exclude share-based compensation. For additional details, including the amounts of share-based compensation, see Note 4 to our consolidated financial statements included elsewhere in this annual report. We have not set aside or accrued any amount to provide pension, retirement or other similar benefits to our directors and executive officers. None of our directors has a service contract providing for termination or severance benefits.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0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We maintain a share incentive plan (as most recently amended and restated on December 10, 2025, the “Plan”) to attract, motivate, retain and reward officers, employees, directors and other eligible persons, and to align their interests with those of our shareholders. The Plan provides for the grant of restricted share units (“RSUs”) and share options (together, the “Awards”). Each vested RSU entitles the holder to receive one ADS, subject to adjustments for dividends, while each vested option entitles the holder to purchase one ADS at an exercise price determined at grant and subject to adjustments for dividends.</w:t>
      </w:r>
    </w:p>
    <w:p>
      <w:pPr>
        <w:spacing w:after="0" w:line="143"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Plan is administered by our compensation committee or such officers as may be delegated authority by the compensation committee. Vesting conditions and other award terms are determined by the plan administrator and set forth in the applicable award agreements. Options granted under the Plan have a maximum term of ten years from the date of grant. Additional terms of the Plan are described in the Plan, which is included as Exhibit 4.1 to this annual report.</w:t>
      </w:r>
    </w:p>
    <w:p>
      <w:pPr>
        <w:spacing w:after="0" w:line="139" w:lineRule="exact"/>
        <w:rPr>
          <w:sz w:val="20"/>
          <w:szCs w:val="20"/>
          <w:color w:val="auto"/>
        </w:rPr>
      </w:pPr>
    </w:p>
    <w:p>
      <w:pPr>
        <w:ind w:right="180" w:firstLine="374"/>
        <w:spacing w:after="0" w:line="289" w:lineRule="auto"/>
        <w:rPr>
          <w:sz w:val="20"/>
          <w:szCs w:val="20"/>
          <w:color w:val="auto"/>
        </w:rPr>
      </w:pPr>
      <w:r>
        <w:rPr>
          <w:rFonts w:ascii="Times New Roman" w:cs="Times New Roman" w:eastAsia="Times New Roman" w:hAnsi="Times New Roman"/>
          <w:sz w:val="17"/>
          <w:szCs w:val="17"/>
          <w:color w:val="auto"/>
        </w:rPr>
        <w:t>A maximum of 13,000,000 ordinary shares (represented by an equivalent number of ADSs) are currently authorized for issuance under the Plan, excluding shares issuable pursuant to dividend adjustments. Commencing on January 1, 2026, the Plan includes an “evergreen” provision that automatically increases the number of ADSs available for issuance by 1,000,000 on January 1 of each year, unless the Board approves a smaller increase.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As of December 31, 2025, we had granted 9,612,784 RSUs and 100,000 options since the Plan’s inception in 2017. Both figures are presented net of forfeitures, and the RSU total excludes dividend adjustments.</w:t>
      </w:r>
    </w:p>
    <w:p>
      <w:pPr>
        <w:spacing w:after="0" w:line="135"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In accordance with the Plan, unexercised RSUs are adjusted in connection with dividends in order to preserve their economic value. Such adjustments are effected through the issuance of additional RSUs based on the dividend amount and the adjustment provisions of the Plan. As of December 31, 2025, such dividend-related adjustments had resulted in an aggregate increase equivalent to 449,502 RSUs, net of forfeitures.</w:t>
      </w:r>
    </w:p>
    <w:p>
      <w:pPr>
        <w:spacing w:after="0" w:line="135"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table below sets forth certain information as of the date of this annual report, concerning the outstanding Awards we have granted to our directors and executive officers individually.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Type of Awards</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0" w:type="dxa"/>
            <w:vAlign w:val="bottom"/>
          </w:tcPr>
          <w:p>
            <w:pPr>
              <w:spacing w:after="0"/>
              <w:rPr>
                <w:sz w:val="1"/>
                <w:szCs w:val="1"/>
                <w:color w:val="auto"/>
              </w:rPr>
            </w:pPr>
          </w:p>
        </w:tc>
      </w:tr>
      <w:tr>
        <w:trPr>
          <w:trHeight w:val="148"/>
        </w:trPr>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1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Price ($/Share)</w:t>
            </w:r>
          </w:p>
        </w:tc>
        <w:tc>
          <w:tcPr>
            <w:tcW w:w="220" w:type="dxa"/>
            <w:vAlign w:val="bottom"/>
          </w:tcPr>
          <w:p>
            <w:pPr>
              <w:spacing w:after="0"/>
              <w:rPr>
                <w:sz w:val="12"/>
                <w:szCs w:val="12"/>
                <w:color w:val="auto"/>
              </w:rPr>
            </w:pPr>
          </w:p>
        </w:tc>
        <w:tc>
          <w:tcPr>
            <w:tcW w:w="13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xml:space="preserve">Year of Grant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Granted</w:t>
            </w:r>
          </w:p>
        </w:tc>
        <w:tc>
          <w:tcPr>
            <w:tcW w:w="2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Yahui Zhou</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Lin Song</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2025, 2026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2027, 2029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Xiaoling Qian</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Tian Jin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Lori Wheeler Næss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Trond Riiber Knudsen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James Jian Liu</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Frode Jacobsen</w:t>
            </w:r>
          </w:p>
        </w:tc>
        <w:tc>
          <w:tcPr>
            <w:tcW w:w="11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2025, 2026</w:t>
            </w:r>
          </w:p>
        </w:tc>
        <w:tc>
          <w:tcPr>
            <w:tcW w:w="1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2027, 2029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-1242695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40" w:hanging="332"/>
        <w:spacing w:after="0"/>
        <w:tabs>
          <w:tab w:leader="none" w:pos="3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outstanding awards held by each of these directors and executive officers represent less than 1% of our total outstanding shares.</w:t>
      </w:r>
    </w:p>
    <w:p>
      <w:pPr>
        <w:spacing w:after="0" w:line="13" w:lineRule="exact"/>
        <w:rPr>
          <w:sz w:val="20"/>
          <w:szCs w:val="20"/>
          <w:color w:val="auto"/>
        </w:rPr>
      </w:pPr>
    </w:p>
    <w:p>
      <w:pPr>
        <w:ind w:left="380" w:hanging="372"/>
        <w:spacing w:after="0"/>
        <w:tabs>
          <w:tab w:leader="none" w:pos="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Excluding dividend adjustment grant dates (issued at every dividend date to ensure that original grants maintain their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Kunlun’s Share Incentive Plan</w:t>
      </w:r>
    </w:p>
    <w:p>
      <w:pPr>
        <w:spacing w:after="0" w:line="202"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Certain of our employees participate in a share incentive plan maintained by Kunlun, our parent company, under which they receive equity awards issued by Kunlun in respect of services provided to us. We have no obligation to settle these awards. Grants made by Kunlun to our employees are accounted for as equity-settled share-based payments in our consolidated financial statements, consistent with the accounting treatment of awards granted under our own share incentive plan. For additional information, see Note 4 to our consolidated financial statements included elsewhere in this annual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89"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In November 2023, the Board adopted a policy, effective from October 2, 2023, for the recovery of erroneously awarded incentive-based compensation (the “Clawback Policy”) providing for the recovery of certain incentive-based compensation from current and former executive officers of the company in the event the company is required to restate its financial statements in order to correct (i)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(ii) an error that is not material to previously issued financial statements, but would result in a material misstatement if the error were corrected in the current period or left uncorrected in the current period. The adoption of the Clawback Policy was in accordance with Rule 5608 of the Nasdaq listing rules and Section 10D and Rule 10D-1 of the Securities Exchange Act Rule of 1934. A copy of the Clawback Policy was filed as Exhibit 97.1 to our annual report on Form 20-F for the year ended December 31, 2023, filed with the SEC on April 24, 2024.</w:t>
      </w:r>
    </w:p>
    <w:p>
      <w:pPr>
        <w:spacing w:after="0" w:line="157"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Practices</w:t>
      </w:r>
    </w:p>
    <w:p>
      <w:pPr>
        <w:spacing w:after="0" w:line="189"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consists of seven members. Directors are not required to hold shares in the company to qualify for service. There are no service contracts between us and any of our directors providing for benefits upon termination of service.</w:t>
      </w:r>
    </w:p>
    <w:p>
      <w:pPr>
        <w:spacing w:after="0" w:line="121"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accordance with our memorandum and articles of association, a director who has an interest in a contract or transaction must declare that interest at a meeting of the Board. A general notice to the Board identifying a director’s affiliation with a specific entity is considered a sufficient declaration of interest for transactions involving that entity. Provided that the interest is properly disclosed, and subject to any specific audit committee approval requirements under Nasdaq rules or disqualification by the chairman of the meeting, an interested director may be counted in the quorum and vote on resolutions concerning the matter.</w:t>
      </w:r>
    </w:p>
    <w:p>
      <w:pPr>
        <w:spacing w:after="0" w:line="156"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The Board of Directors may exercise all powers of the company to borrow money and to mortgage or charge its undertaking, property, and uncalled capital. This includes the authority to issue debentures or other securities as collateral for any debt, liability, or obligation of the company or any third party.</w:t>
      </w:r>
    </w:p>
    <w:p>
      <w:pPr>
        <w:sectPr>
          <w:pgSz w:w="11900" w:h="16838" w:orient="portrait"/>
          <w:cols w:equalWidth="0" w:num="1">
            <w:col w:w="11240"/>
          </w:cols>
          <w:pgMar w:left="320" w:top="256" w:right="339" w:bottom="1440" w:gutter="0" w:footer="0" w:header="0"/>
        </w:sectPr>
      </w:pP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02"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We have an audit committee, a compensation committee and a corporate governance and nominating committee. The Board of Directors has adopted a written charter for each committee. Each committee’s members and functions are described below.</w:t>
      </w:r>
    </w:p>
    <w:p>
      <w:pPr>
        <w:spacing w:after="0" w:line="117" w:lineRule="exact"/>
        <w:rPr>
          <w:sz w:val="20"/>
          <w:szCs w:val="20"/>
          <w:color w:val="auto"/>
        </w:rPr>
      </w:pPr>
    </w:p>
    <w:p>
      <w:pPr>
        <w:ind w:right="6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is composed of Lori Wheeler Næss, Trond Riiber Knudsen and James Jian Liu, with Ms. Næss serving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 Each member satisfies the independence requirements of Rule 5605(a)(2) of the Nasdaq Stock Market Rules and meets the independence standards under Rule 10A-3 under the Exchange Act. Our Board of Directors has determined that Ms. Næss qualifies as an “audit committee financial expert” within the meaning of the applicable SEC rules and possesses financial sophistication within the meaning of the Nasdaq Stock Market Rules.</w:t>
      </w:r>
    </w:p>
    <w:p>
      <w:pPr>
        <w:spacing w:after="0" w:line="14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audit committee assists the Board of Directors in overseeing our accounting and financial reporting processes, internal control over financial reporting and the audits of our financial statements. Its responsibilities include selecting and overseeing our independent registered public accounting firm, pre-approving audit and permitted non-audit services, reviewing and approving related-party transactions, discussing the audited financial statements with management and the independent auditor, reviewing audit issues and management’s responses, and overseeing the adequacy and effectiveness of our financial reporting processes and related internal controls. The audit committee also periodically reviews the adequacy of its charter and reports regularly to the Board of Directors.</w:t>
      </w:r>
    </w:p>
    <w:p>
      <w:pPr>
        <w:spacing w:after="0" w:line="156" w:lineRule="exact"/>
        <w:rPr>
          <w:sz w:val="20"/>
          <w:szCs w:val="20"/>
          <w:color w:val="auto"/>
        </w:rPr>
      </w:pPr>
    </w:p>
    <w:p>
      <w:pPr>
        <w:ind w:right="40" w:firstLine="37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is composed of Trond Riiber Knudsen, James Jian Liu and Xiaoling Qian, with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Knudsen serving as chair. Mr. Knudsen and Mr. Liu both satisfy the independence requirements of Rule 5605(a)(2) of the Nasdaq Stock Market Rules. As a controlled company and foreign private issuer, we have elected to rely on exemptions that allow our compensation committee to include non-independent directors.</w:t>
      </w:r>
    </w:p>
    <w:p>
      <w:pPr>
        <w:spacing w:after="0" w:line="14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compensation committee assists the Board of Directors in overseeing and approving the compensation of our directors and executive officers. The committee reviews and approves, or recommends to the board for approval, the compensation of our chief executive officer and other executive officers, reviews and recommends director compensation, and oversees employee compensation plans and practices. Our chief executive officer may not be present in committee deliberations regarding his compensation. The committee may retain and receive advice from compensation consultants, legal counsel or other advisers, as appropriate, and periodically reviews the adequacy of its charter.</w:t>
      </w:r>
    </w:p>
    <w:p>
      <w:pPr>
        <w:spacing w:after="0" w:line="139" w:lineRule="exact"/>
        <w:rPr>
          <w:sz w:val="20"/>
          <w:szCs w:val="20"/>
          <w:color w:val="auto"/>
        </w:rPr>
      </w:pPr>
    </w:p>
    <w:p>
      <w:pPr>
        <w:jc w:val="both"/>
        <w:ind w:firstLine="37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Governance and Nominating Committee. </w:t>
      </w:r>
      <w:r>
        <w:rPr>
          <w:rFonts w:ascii="Times New Roman" w:cs="Times New Roman" w:eastAsia="Times New Roman" w:hAnsi="Times New Roman"/>
          <w:sz w:val="18"/>
          <w:szCs w:val="18"/>
          <w:color w:val="auto"/>
        </w:rPr>
        <w:t>Our corporate governance and nominating committee is composed of Lori Wheeler Næss, Trond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Riiber Knudsen and James Jian Liu, with Mr. Liu serving as chair. Each member of the committee satisfies the independence requirements of Rule 5605(a)</w:t>
      </w:r>
    </w:p>
    <w:p>
      <w:pPr>
        <w:spacing w:after="0" w:line="1" w:lineRule="exact"/>
        <w:rPr>
          <w:sz w:val="20"/>
          <w:szCs w:val="20"/>
          <w:color w:val="auto"/>
        </w:rPr>
      </w:pPr>
    </w:p>
    <w:p>
      <w:pPr>
        <w:ind w:right="360" w:firstLine="8"/>
        <w:spacing w:after="0" w:line="260"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Nasdaq Stock Market Rules. The committee assists the Board of Directors in identifying and recommending qualified candidates for director nominees and committee appointments.</w:t>
      </w:r>
    </w:p>
    <w:p>
      <w:pPr>
        <w:spacing w:after="0" w:line="154" w:lineRule="exact"/>
        <w:rPr>
          <w:sz w:val="20"/>
          <w:szCs w:val="20"/>
          <w:color w:val="auto"/>
        </w:rPr>
      </w:pPr>
    </w:p>
    <w:p>
      <w:pPr>
        <w:jc w:val="both"/>
        <w:ind w:right="40" w:firstLine="374"/>
        <w:spacing w:after="0" w:line="261" w:lineRule="auto"/>
        <w:rPr>
          <w:sz w:val="20"/>
          <w:szCs w:val="20"/>
          <w:color w:val="auto"/>
        </w:rPr>
      </w:pPr>
      <w:r>
        <w:rPr>
          <w:rFonts w:ascii="Times New Roman" w:cs="Times New Roman" w:eastAsia="Times New Roman" w:hAnsi="Times New Roman"/>
          <w:sz w:val="18"/>
          <w:szCs w:val="18"/>
          <w:color w:val="auto"/>
        </w:rPr>
        <w:t>In addition, the committee is responsible for annually reviewing the Board’s composition regarding independence, skills, experience and availability. It periodically advises the Board on significant corporate governance developments and monitors compliance with our code of business conduct and ethics. The committee also assesses the adequacy of its own charter and recommends any necessary corrective actions or improvements to our overall governance framework to ensure compliance with applicable laws and regulations.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89" w:lineRule="exact"/>
        <w:rPr>
          <w:sz w:val="20"/>
          <w:szCs w:val="20"/>
          <w:color w:val="auto"/>
        </w:rPr>
      </w:pPr>
    </w:p>
    <w:p>
      <w:pPr>
        <w:jc w:val="both"/>
        <w:ind w:right="540" w:firstLine="374"/>
        <w:spacing w:after="0" w:line="266"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duties to act honestly, in good faith and in what they consider to be in our best interests, and to exercise their powers for a proper purpose. Directors also owe a duty to exercise reasonable skill, care and diligence in performance of their duties.</w:t>
      </w:r>
    </w:p>
    <w:p>
      <w:pPr>
        <w:spacing w:after="0" w:line="149" w:lineRule="exact"/>
        <w:rPr>
          <w:sz w:val="20"/>
          <w:szCs w:val="20"/>
          <w:color w:val="auto"/>
        </w:rPr>
      </w:pPr>
    </w:p>
    <w:p>
      <w:pPr>
        <w:jc w:val="both"/>
        <w:ind w:right="640" w:firstLine="374"/>
        <w:spacing w:after="0" w:line="266" w:lineRule="auto"/>
        <w:rPr>
          <w:sz w:val="20"/>
          <w:szCs w:val="20"/>
          <w:color w:val="auto"/>
        </w:rPr>
      </w:pPr>
      <w:r>
        <w:rPr>
          <w:rFonts w:ascii="Times New Roman" w:cs="Times New Roman" w:eastAsia="Times New Roman" w:hAnsi="Times New Roman"/>
          <w:sz w:val="18"/>
          <w:szCs w:val="18"/>
          <w:color w:val="auto"/>
        </w:rPr>
        <w:t>Directors are required to act in accordance with our memorandum and articles of association, as amended and restated from time to time. Our company has the right to seek damages for breaches of duties owed directors, and in limited circumstances, shareholders may be permitted to bring derivative actions on behalf of our company.</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principal functions and powers of our Board of Directors include, among others:</w:t>
      </w:r>
    </w:p>
    <w:p>
      <w:pPr>
        <w:spacing w:after="0" w:line="185"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annual general meetings of shareholders and reporting to shareholders;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other distributions;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their terms of office;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borrowings and granting security over our assets; and</w:t>
      </w:r>
    </w:p>
    <w:p>
      <w:pPr>
        <w:spacing w:after="0" w:line="198" w:lineRule="exact"/>
        <w:rPr>
          <w:rFonts w:ascii="Times New Roman" w:cs="Times New Roman" w:eastAsia="Times New Roman" w:hAnsi="Times New Roman"/>
          <w:sz w:val="18"/>
          <w:szCs w:val="18"/>
          <w:color w:val="auto"/>
        </w:rPr>
      </w:pPr>
    </w:p>
    <w:p>
      <w:pPr>
        <w:ind w:left="5540" w:right="4720" w:hanging="5158"/>
        <w:spacing w:after="0" w:line="485" w:lineRule="auto"/>
        <w:tabs>
          <w:tab w:leader="none" w:pos="7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issuance and transfer of shares and maintaining the share register.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02"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Each of our directors serves until a successor is duly elected or appointed, or until earlier resignation or removal in accordance with our memorandum and articles of association. There is no mandatory retirement age for directors. Directors may be appointed or removed by an ordinary resolution of shareholders. A simple majority of the Board may appoint any person as a director to fill a vacancy on the Board or as an addition to the existing Board. The compensation of our directors is determined by the Board of Directors.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02" w:lineRule="exact"/>
        <w:rPr>
          <w:sz w:val="20"/>
          <w:szCs w:val="20"/>
          <w:color w:val="auto"/>
        </w:rPr>
      </w:pPr>
    </w:p>
    <w:p>
      <w:pPr>
        <w:ind w:right="280" w:firstLine="374"/>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for continuous or automatically renewing terms, which may be terminated by either party upon three to six months’ prior written notice. Subject to applicable local labor laws, we may terminate an executive officer’s employment at any time for cause without remuneration. For purposes of these agreements, cause generally includes serious or persistent breach of employment terms, conviction of a criminal offense that adversely impacts the executive’s position, willful disobedience, fraud, or habitual neglect of material duties. Executive officers are not entitled to severance or further compensation if terminated for cause.</w:t>
      </w:r>
    </w:p>
    <w:p>
      <w:pPr>
        <w:spacing w:after="0" w:line="143"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Our executive officers are bound by confidentiality obligations regarding our trade secrets and proprietary information, which persist following the termination of their employment. Additionally, these agreements include non-competition and non-solicitation covenants that restrict executive officers from competing with us or soliciting our employees and consultants for a specified period following their departure. These restrictive covenants are subject to the limitations of local labor regulations in the jurisdictions where our executive officers are employed.</w:t>
      </w:r>
    </w:p>
    <w:p>
      <w:pPr>
        <w:spacing w:after="0" w:line="139"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to provide protection against certain liabilities and expenses incurred in connection with legal claims made by reason of their service to the company.</w:t>
      </w:r>
    </w:p>
    <w:p>
      <w:pPr>
        <w:spacing w:after="0" w:line="131"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Employees</w:t>
      </w:r>
    </w:p>
    <w:p>
      <w:pPr>
        <w:spacing w:after="0" w:line="189" w:lineRule="exact"/>
        <w:rPr>
          <w:sz w:val="20"/>
          <w:szCs w:val="20"/>
          <w:color w:val="auto"/>
        </w:rPr>
      </w:pPr>
    </w:p>
    <w:p>
      <w:pPr>
        <w:jc w:val="both"/>
        <w:ind w:right="20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2023, 2024 and 2025, we had 592, 599 and 605 full-time employees, respectively, primarily located in Norway, Poland, China, Sweden and the United Kingdom. As of December 31, 2025, approximately 73% of our full-time employees were engaged in research and development roles. The table below sets forth the number of employees in each functional area as of the date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120" w:type="dxa"/>
            <w:vAlign w:val="bottom"/>
            <w:vMerge w:val="restart"/>
          </w:tcPr>
          <w:p>
            <w:pPr>
              <w:spacing w:after="0"/>
              <w:rPr>
                <w:sz w:val="18"/>
                <w:szCs w:val="18"/>
                <w:color w:val="auto"/>
              </w:rPr>
            </w:pPr>
          </w:p>
        </w:tc>
        <w:tc>
          <w:tcPr>
            <w:tcW w:w="3300" w:type="dxa"/>
            <w:vAlign w:val="bottom"/>
            <w:tcBorders>
              <w:bottom w:val="single" w:sz="8" w:color="auto"/>
            </w:tcBorders>
            <w:gridSpan w:val="5"/>
          </w:tcPr>
          <w:p>
            <w:pPr>
              <w:jc w:val="center"/>
              <w:ind w:left="1032"/>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0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R&amp;D</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Browser and News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AdTech</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Commercial</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Hosting and Infrastructure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Group functions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-161925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-161925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80" w:firstLine="374"/>
        <w:spacing w:after="0" w:line="282" w:lineRule="auto"/>
        <w:rPr>
          <w:sz w:val="20"/>
          <w:szCs w:val="20"/>
          <w:color w:val="auto"/>
        </w:rPr>
      </w:pPr>
      <w:r>
        <w:rPr>
          <w:rFonts w:ascii="Times New Roman" w:cs="Times New Roman" w:eastAsia="Times New Roman" w:hAnsi="Times New Roman"/>
          <w:sz w:val="18"/>
          <w:szCs w:val="18"/>
          <w:color w:val="auto"/>
        </w:rPr>
        <w:t>In addition, as of December 31, 2025, we engaged 98 contractors and employed 60 temporary employees, primarily to support general and administrative, R&amp;D, marketing and sales functions.</w:t>
      </w:r>
    </w:p>
    <w:p>
      <w:pPr>
        <w:spacing w:after="0" w:line="121"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We aim to provide a collegial, creative, and inclusive working environment supported by competitive compensation packages. We have historically maintained low attrition rates among our senior leadership and have generally been successful in attracting qualified personnel.</w:t>
      </w:r>
    </w:p>
    <w:p>
      <w:pPr>
        <w:spacing w:after="0" w:line="135"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Our management and staff typically enter into standard employment agreements that include confidentiality obligations and non-solicitation covenants. Where permitted under local law, these agreements also feature non-compete provisions that restrict employees from competing with us during their employment and for a specified period thereafter.</w:t>
      </w:r>
    </w:p>
    <w:p>
      <w:pPr>
        <w:spacing w:after="0" w:line="131"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Ownership</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following table sets forth beneficial ownership of our ordinary shares as of the date of this annual report by each of our directors and executive officers and by each person we know to own more than 5% of our outstanding shares. Beneficial ownership is determined in accordance with the rules and regulations of the SEC and generally includes voting or investment power with respect to securities. It also includes shares that a person has the right to acquire within 60 days of the date of this annual report, including through the exercise of options or other rights or the conversion of securities. Such shares are included in the beneficial ownership of the applicable person but are not included in the beneficial ownership of any other person.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Percentage of Total</w:t>
            </w:r>
          </w:p>
        </w:tc>
      </w:tr>
      <w:tr>
        <w:trPr>
          <w:trHeight w:val="189"/>
        </w:trPr>
        <w:tc>
          <w:tcPr>
            <w:tcW w:w="790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Ordinary Shares</w:t>
            </w:r>
          </w:p>
        </w:tc>
        <w:tc>
          <w:tcPr>
            <w:tcW w:w="24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Voting Power held</w:t>
            </w:r>
          </w:p>
        </w:tc>
      </w:tr>
      <w:tr>
        <w:trPr>
          <w:trHeight w:val="232"/>
        </w:trPr>
        <w:tc>
          <w:tcPr>
            <w:tcW w:w="79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Beneficially Owned</w:t>
            </w:r>
          </w:p>
        </w:tc>
        <w:tc>
          <w:tcPr>
            <w:tcW w:w="1740" w:type="dxa"/>
            <w:vAlign w:val="bottom"/>
            <w:gridSpan w:val="2"/>
          </w:tcPr>
          <w:p>
            <w:pPr>
              <w:jc w:val="center"/>
              <w:ind w:left="132"/>
              <w:spacing w:after="0" w:line="232" w:lineRule="exact"/>
              <w:rPr>
                <w:sz w:val="20"/>
                <w:szCs w:val="20"/>
                <w:color w:val="auto"/>
              </w:rPr>
            </w:pPr>
            <w:r>
              <w:rPr>
                <w:rFonts w:ascii="Times New Roman" w:cs="Times New Roman" w:eastAsia="Times New Roman" w:hAnsi="Times New Roman"/>
                <w:sz w:val="16"/>
                <w:szCs w:val="16"/>
                <w:b w:val="1"/>
                <w:bCs w:val="1"/>
                <w:color w:val="auto"/>
                <w:w w:val="93"/>
              </w:rPr>
              <w:t xml:space="preserve">(%) </w:t>
            </w:r>
            <w:r>
              <w:rPr>
                <w:rFonts w:ascii="Times New Roman" w:cs="Times New Roman" w:eastAsia="Times New Roman" w:hAnsi="Times New Roman"/>
                <w:sz w:val="21"/>
                <w:szCs w:val="21"/>
                <w:b w:val="1"/>
                <w:bCs w:val="1"/>
                <w:color w:val="auto"/>
                <w:w w:val="93"/>
                <w:vertAlign w:val="superscript"/>
              </w:rPr>
              <w:t>(1)</w:t>
            </w:r>
          </w:p>
        </w:tc>
        <w:tc>
          <w:tcPr>
            <w:tcW w:w="100" w:type="dxa"/>
            <w:vAlign w:val="bottom"/>
          </w:tcPr>
          <w:p>
            <w:pPr>
              <w:spacing w:after="0"/>
              <w:rPr>
                <w:sz w:val="20"/>
                <w:szCs w:val="20"/>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5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James Yahui Zhou </w:t>
            </w:r>
            <w:r>
              <w:rPr>
                <w:rFonts w:ascii="Times New Roman" w:cs="Times New Roman" w:eastAsia="Times New Roman" w:hAnsi="Times New Roman"/>
                <w:sz w:val="24"/>
                <w:szCs w:val="24"/>
                <w:color w:val="auto"/>
                <w:vertAlign w:val="superscript"/>
              </w:rPr>
              <w:t>(2)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61,081,569</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Lin Song </w:t>
            </w:r>
            <w:r>
              <w:rPr>
                <w:rFonts w:ascii="Times New Roman" w:cs="Times New Roman" w:eastAsia="Times New Roman" w:hAnsi="Times New Roman"/>
                <w:sz w:val="24"/>
                <w:szCs w:val="24"/>
                <w:color w:val="auto"/>
                <w:vertAlign w:val="superscript"/>
              </w:rPr>
              <w:t>(3)</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190,846</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Xiaoling Qian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Tian Jin</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Lori Wheeler Næss </w:t>
            </w:r>
            <w:r>
              <w:rPr>
                <w:rFonts w:ascii="Times New Roman" w:cs="Times New Roman" w:eastAsia="Times New Roman" w:hAnsi="Times New Roman"/>
                <w:sz w:val="24"/>
                <w:szCs w:val="24"/>
                <w:color w:val="auto"/>
                <w:vertAlign w:val="superscript"/>
              </w:rPr>
              <w:t>(3)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Trond Riiber Knudsen </w:t>
            </w:r>
            <w:r>
              <w:rPr>
                <w:rFonts w:ascii="Times New Roman" w:cs="Times New Roman" w:eastAsia="Times New Roman" w:hAnsi="Times New Roman"/>
                <w:sz w:val="24"/>
                <w:szCs w:val="24"/>
                <w:color w:val="auto"/>
                <w:vertAlign w:val="superscript"/>
              </w:rPr>
              <w:t>(3)</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James Jian Liu</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Frode Jacobsen </w:t>
            </w:r>
            <w:r>
              <w:rPr>
                <w:rFonts w:ascii="Times New Roman" w:cs="Times New Roman" w:eastAsia="Times New Roman" w:hAnsi="Times New Roman"/>
                <w:sz w:val="24"/>
                <w:szCs w:val="24"/>
                <w:color w:val="auto"/>
                <w:vertAlign w:val="superscript"/>
              </w:rPr>
              <w:t>(3)</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113,325</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Hong Kong Kunlun Tech Holding Limited </w:t>
            </w:r>
            <w:r>
              <w:rPr>
                <w:rFonts w:ascii="Times New Roman" w:cs="Times New Roman" w:eastAsia="Times New Roman" w:hAnsi="Times New Roman"/>
                <w:sz w:val="24"/>
                <w:szCs w:val="24"/>
                <w:color w:val="auto"/>
                <w:vertAlign w:val="superscript"/>
              </w:rPr>
              <w:t>(4)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61,081,569</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FF0FC"/>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ind w:left="380" w:right="160" w:hanging="372"/>
        <w:spacing w:after="0" w:line="262" w:lineRule="auto"/>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89,880,513 ordinary shares outstanding as of the date of this annual report. This figure reflects all repurchases of ADSs and ordinary shares settled through March 26, 2026. For each person or group, the percentage is calculated by dividing (i) the number of shares beneficially owned by such person or group (including shares they have the right to acquire within 60 days) by (ii) the sum of our total outstanding shares plus the shares that only such person or group has the right to acquire within 60 days. Total outstanding shares exclude shares held in deposit for our account, such as shares repurchased but not yet cancelled. Percentages have been rounded for presentation purposes and may differ from unrounded results.</w:t>
      </w:r>
    </w:p>
    <w:p>
      <w:pPr>
        <w:spacing w:after="0" w:line="2" w:lineRule="exact"/>
        <w:rPr>
          <w:rFonts w:ascii="Times New Roman" w:cs="Times New Roman" w:eastAsia="Times New Roman" w:hAnsi="Times New Roman"/>
          <w:sz w:val="16"/>
          <w:szCs w:val="16"/>
          <w:color w:val="auto"/>
        </w:rPr>
      </w:pPr>
    </w:p>
    <w:p>
      <w:pPr>
        <w:ind w:left="380" w:right="40" w:hanging="372"/>
        <w:spacing w:after="0" w:line="264" w:lineRule="auto"/>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54,347,459 ordinary shares and 6,734,110 ADSs held by Hong Kong Kunlun Tech Holding Limited, a Hong Kong limited liability company, which is a subsidiary of Kunlun, a company incorporated in the PRC. Mr. Zhou holds 11.6% of Kunlun directly and 15.1% indirectly through Beijing Yingrui Century Software R&amp;D Center L.P. (“Beijing Yingrui”), a limited partnership established in the PRC. As the general partner of Beijing Yingrui with a 54.8% interest, Mr. Zhou has sole voting and dispositive power over the shares of Kunlun held by the partnership. By virtue of his direct and indirect interests, Mr. Zhou is the controlling shareholder of Kunlun and may be deemed to beneficially own the shares held by Hong Kong Kunlun Tech Holding Limited. The registered address of Hong Kong Kunlun Tech Holding Limited is Flat/RM 8105B 8/F, YF Life Tower, 33 Lockhart Road, Wanchai, HK. The business address of Kunlun is 46 Xizongbu Hutong, Mingyang International Center, Block B, Dongcheng District, Beijing 100005, PRC.</w:t>
      </w: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ordinary shares reported in this table are held directly by the respective director or officer in the form of ADSs.</w:t>
      </w:r>
    </w:p>
    <w:p>
      <w:pPr>
        <w:spacing w:after="0" w:line="1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54,347,459 ordinary shares and 6,734,110 ADSs.</w:t>
      </w:r>
    </w:p>
    <w:p>
      <w:pPr>
        <w:spacing w:after="0" w:line="195" w:lineRule="exact"/>
        <w:rPr>
          <w:sz w:val="20"/>
          <w:szCs w:val="20"/>
          <w:color w:val="auto"/>
        </w:rPr>
      </w:pPr>
    </w:p>
    <w:p>
      <w:pPr>
        <w:ind w:right="340"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had no ordinary shares outstanding that were held by a record holder in the United States. None of our shareholders has informed us that it is affiliated with a registered broker-dealer or is in the business of underwriting securities. We are not aware of any arrangement that may, at a subsequent date, result in a change of control of our company.</w:t>
      </w:r>
    </w:p>
    <w:p>
      <w:pPr>
        <w:spacing w:after="0" w:line="64"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98" w:lineRule="exact"/>
        <w:rPr>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Major Shareholders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See “Item 6. Directors, Senior Management and Employees—E. Share Ownership.”</w:t>
      </w:r>
    </w:p>
    <w:p>
      <w:pPr>
        <w:spacing w:after="0" w:line="180"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02" w:lineRule="exact"/>
        <w:rPr>
          <w:sz w:val="20"/>
          <w:szCs w:val="20"/>
          <w:color w:val="auto"/>
        </w:rPr>
      </w:pPr>
    </w:p>
    <w:p>
      <w:pPr>
        <w:ind w:right="500" w:firstLine="374"/>
        <w:spacing w:after="0" w:line="282" w:lineRule="auto"/>
        <w:rPr>
          <w:sz w:val="20"/>
          <w:szCs w:val="20"/>
          <w:color w:val="auto"/>
        </w:rPr>
      </w:pPr>
      <w:r>
        <w:rPr>
          <w:rFonts w:ascii="Times New Roman" w:cs="Times New Roman" w:eastAsia="Times New Roman" w:hAnsi="Times New Roman"/>
          <w:sz w:val="18"/>
          <w:szCs w:val="18"/>
          <w:color w:val="auto"/>
        </w:rPr>
        <w:t>See Notes 17 and 18 to our consolidated financial statements included elsewhere in this annual report for details of our transactions with related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Compensation—Share Incentive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6. Directors, Senior Management and Employees—C. Board Practice—Employment Agreements and Indemnification Agreements.”</w:t>
      </w:r>
    </w:p>
    <w:p>
      <w:pPr>
        <w:spacing w:after="0" w:line="181" w:lineRule="exact"/>
        <w:rPr>
          <w:sz w:val="20"/>
          <w:szCs w:val="20"/>
          <w:color w:val="auto"/>
        </w:rPr>
      </w:pPr>
    </w:p>
    <w:p>
      <w:pPr>
        <w:ind w:left="380" w:right="8420" w:hanging="372"/>
        <w:spacing w:after="0" w:line="464" w:lineRule="auto"/>
        <w:tabs>
          <w:tab w:leader="none" w:pos="3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Interest of Experts and Counsel </w:t>
      </w: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56"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98" w:lineRule="exact"/>
        <w:rPr>
          <w:sz w:val="20"/>
          <w:szCs w:val="20"/>
          <w:color w:val="auto"/>
        </w:rPr>
      </w:pPr>
    </w:p>
    <w:p>
      <w:pPr>
        <w:ind w:left="380" w:hanging="372"/>
        <w:spacing w:after="0"/>
        <w:tabs>
          <w:tab w:leader="none" w:pos="38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Statement and Other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18.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Administrative Proceedings</w:t>
      </w:r>
    </w:p>
    <w:p>
      <w:pPr>
        <w:spacing w:after="0" w:line="18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legal proceedings, investigations and claims arising in the ordinary course of our business. Such matters are inherently uncertain and may be costly and time consuming, and their outcome cannot be predicted with certainty.</w:t>
      </w:r>
    </w:p>
    <w:p>
      <w:pPr>
        <w:spacing w:after="0" w:line="12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are not a party to, and are not aware of, any legal proceeding, investigation or claim that, in the opinion of management, is likely to have a material adverse effect on our business, financial condition or results of operations. We may also initiate legal proceedings from time to time to protect our rights and interests.</w:t>
      </w:r>
    </w:p>
    <w:p>
      <w:pPr>
        <w:spacing w:after="0" w:line="149"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Strategy and Operating Environment—We are subject to risks related to litigation, including intellectual property claims and regulatory disputes.”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8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In June 2023, our Board of Directors adopted a recurring semi-annual cash dividend program. Under this program, we have consistently declared and paid semi-annual dividends of $0.40 per ADS. Since the program’s inception, payments have been made to shareholders of record as of June 30, 2023; January 3, 2024; July 2, 2024; January 6, 2025; July 8, 2025; and most recently, January 7, 2026.</w:t>
      </w:r>
    </w:p>
    <w:p>
      <w:pPr>
        <w:spacing w:after="0" w:line="14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While we intend to continue paying regular semi-annual dividends, any future determination to pay dividends remains at the discretion of our Board of Directors and is subject to the requirements of Cayman Islands law. The amount and timing of future dividends will depend on our results of operations, financial condition, capital requirements, contractual restrictions, and other factors the Board deems relevant. Our shareholders may also declare a dividend by ordinary resolution, provided it does not exceed the amount recommended by our directors.</w:t>
      </w:r>
    </w:p>
    <w:p>
      <w:pPr>
        <w:spacing w:after="0" w:line="139"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Under Cayman Islands law, dividends may be paid out of either profit or our share premium account, provided that the company remains solvent and able to pay its debts as they fall due in the ordinary course of business. As a holding company, our ability to pay dividends is substantially dependent on receiving distributions from our operating subsidiaries, such as Opera Norway AS. These subsidiaries are subject to local regulations, including potential withholding taxes and statutory capital requirements, which may limit their ability to transfer cash to us.</w:t>
      </w:r>
    </w:p>
    <w:p>
      <w:pPr>
        <w:spacing w:after="0" w:line="139" w:lineRule="exact"/>
        <w:rPr>
          <w:sz w:val="20"/>
          <w:szCs w:val="20"/>
          <w:color w:val="auto"/>
        </w:rPr>
      </w:pPr>
    </w:p>
    <w:p>
      <w:pPr>
        <w:jc w:val="both"/>
        <w:ind w:right="200" w:firstLine="374"/>
        <w:spacing w:after="0" w:line="266" w:lineRule="auto"/>
        <w:rPr>
          <w:sz w:val="20"/>
          <w:szCs w:val="20"/>
          <w:color w:val="auto"/>
        </w:rPr>
      </w:pPr>
      <w:r>
        <w:rPr>
          <w:rFonts w:ascii="Times New Roman" w:cs="Times New Roman" w:eastAsia="Times New Roman" w:hAnsi="Times New Roman"/>
          <w:sz w:val="18"/>
          <w:szCs w:val="18"/>
          <w:color w:val="auto"/>
        </w:rPr>
        <w:t>All dividends are declared and paid in U.S. dollars. For ordinary shares underlying our ADSs, we pay the relevant amounts to the depositary as the registered holder. The depositary then distributes these payments to ADS holders, subject to the terms of the deposit agreement, including any applicable fees and expenses.</w:t>
      </w:r>
    </w:p>
    <w:p>
      <w:pPr>
        <w:spacing w:after="0" w:line="149"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For further discussion on the risks associated with our dividend policy, see “Item 3. Key Information—D. Risk Factors—Risks Related to Our ADSs, Share Ownership Structure, and Regulatory Status—Returns on an investment in our ADSs depend on dividends and the market price of our ADSs.”</w:t>
      </w:r>
    </w:p>
    <w:p>
      <w:pPr>
        <w:spacing w:after="0" w:line="117" w:lineRule="exact"/>
        <w:rPr>
          <w:sz w:val="20"/>
          <w:szCs w:val="20"/>
          <w:color w:val="auto"/>
        </w:rPr>
      </w:pPr>
    </w:p>
    <w:p>
      <w:pPr>
        <w:ind w:left="380" w:hanging="372"/>
        <w:spacing w:after="0"/>
        <w:tabs>
          <w:tab w:leader="none" w:pos="3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Changes</w:t>
      </w:r>
    </w:p>
    <w:p>
      <w:pPr>
        <w:spacing w:after="0" w:line="189"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Except as disclosed elsewhere in this annual report, including the authorization of a share repurchase program of up to $300 million by our Board of Directors on February 26, 2026, we have not experienced any significant changes since the date of our audited consolidated financial statements included elsewhere in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85"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Offer and Listing Details</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have been listed on the Nasdaq Global Select Market since July 27, 2018, under the symbol “OPRA.”</w:t>
      </w:r>
    </w:p>
    <w:p>
      <w:pPr>
        <w:spacing w:after="0" w:line="194" w:lineRule="exact"/>
        <w:rPr>
          <w:rFonts w:ascii="Times New Roman" w:cs="Times New Roman" w:eastAsia="Times New Roman" w:hAnsi="Times New Roman"/>
          <w:sz w:val="18"/>
          <w:szCs w:val="18"/>
          <w:b w:val="1"/>
          <w:bCs w:val="1"/>
          <w:color w:val="auto"/>
        </w:rPr>
      </w:pPr>
    </w:p>
    <w:p>
      <w:pPr>
        <w:ind w:left="380" w:right="9300" w:hanging="372"/>
        <w:spacing w:after="0" w:line="456" w:lineRule="auto"/>
        <w:tabs>
          <w:tab w:leader="none" w:pos="3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of Distribution </w:t>
      </w:r>
      <w:r>
        <w:rPr>
          <w:rFonts w:ascii="Times New Roman" w:cs="Times New Roman" w:eastAsia="Times New Roman" w:hAnsi="Times New Roman"/>
          <w:sz w:val="18"/>
          <w:szCs w:val="18"/>
          <w:color w:val="auto"/>
        </w:rPr>
        <w:t>Not applicable.</w:t>
      </w: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Markets</w:t>
      </w:r>
    </w:p>
    <w:p>
      <w:pPr>
        <w:spacing w:after="0" w:line="20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since July 27, 2018, under the symbol “OPRA.” Our ordinary shares are not listed on any stock exchange.</w:t>
      </w:r>
    </w:p>
    <w:p>
      <w:pPr>
        <w:spacing w:after="0" w:line="117" w:lineRule="exact"/>
        <w:rPr>
          <w:sz w:val="20"/>
          <w:szCs w:val="20"/>
          <w:color w:val="auto"/>
        </w:rPr>
      </w:pPr>
    </w:p>
    <w:p>
      <w:pPr>
        <w:ind w:left="380" w:right="9240" w:hanging="372"/>
        <w:spacing w:after="0" w:line="488" w:lineRule="auto"/>
        <w:tabs>
          <w:tab w:leader="none" w:pos="38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Selling Shareholders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80" w:hanging="372"/>
        <w:spacing w:after="0"/>
        <w:tabs>
          <w:tab w:leader="none" w:pos="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Dilution</w:t>
      </w:r>
    </w:p>
    <w:p>
      <w:pPr>
        <w:spacing w:after="0" w:line="188"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180"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the Issue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85" w:lineRule="exact"/>
        <w:rPr>
          <w:sz w:val="20"/>
          <w:szCs w:val="20"/>
          <w:color w:val="auto"/>
        </w:rPr>
      </w:pPr>
    </w:p>
    <w:p>
      <w:pPr>
        <w:jc w:val="both"/>
        <w:ind w:left="380" w:right="9720" w:hanging="372"/>
        <w:spacing w:after="0" w:line="488" w:lineRule="auto"/>
        <w:tabs>
          <w:tab w:leader="none" w:pos="380" w:val="left"/>
        </w:tabs>
        <w:numPr>
          <w:ilvl w:val="0"/>
          <w:numId w:val="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80" w:hanging="372"/>
        <w:spacing w:after="0"/>
        <w:tabs>
          <w:tab w:leader="none" w:pos="3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Memorandum and Articles of Association</w:t>
      </w:r>
    </w:p>
    <w:p>
      <w:pPr>
        <w:spacing w:after="0" w:line="189" w:lineRule="exact"/>
        <w:rPr>
          <w:sz w:val="20"/>
          <w:szCs w:val="20"/>
          <w:color w:val="auto"/>
        </w:rPr>
      </w:pPr>
    </w:p>
    <w:p>
      <w:pPr>
        <w:jc w:val="both"/>
        <w:ind w:right="380" w:firstLine="374"/>
        <w:spacing w:after="0" w:line="312" w:lineRule="auto"/>
        <w:rPr>
          <w:sz w:val="20"/>
          <w:szCs w:val="20"/>
          <w:color w:val="auto"/>
        </w:rPr>
      </w:pPr>
      <w:r>
        <w:rPr>
          <w:rFonts w:ascii="Times New Roman" w:cs="Times New Roman" w:eastAsia="Times New Roman" w:hAnsi="Times New Roman"/>
          <w:sz w:val="17"/>
          <w:szCs w:val="17"/>
          <w:color w:val="auto"/>
        </w:rPr>
        <w:t>We incorporate by reference into this annual report our Second Amended and Restated Memorandum and Articles of Association, as currently in effect, filed as Exhibit 3.2 to our registration statement on Amendment No.1 to Form F-1 (File No. 333-226017), filed with the SEC on July 13, 2018.</w:t>
      </w:r>
    </w:p>
    <w:p>
      <w:pPr>
        <w:spacing w:after="0" w:line="109" w:lineRule="exact"/>
        <w:rPr>
          <w:sz w:val="20"/>
          <w:szCs w:val="20"/>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89"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 Information on the Company,” “Item 5. Operating and Financial Review and Prospects,” and Note 17 to our consolidated financial statements or elsewhere in this annual report.</w:t>
      </w:r>
    </w:p>
    <w:p>
      <w:pPr>
        <w:spacing w:after="0" w:line="131"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 Controls</w:t>
      </w:r>
    </w:p>
    <w:p>
      <w:pPr>
        <w:spacing w:after="0" w:line="202" w:lineRule="exact"/>
        <w:rPr>
          <w:rFonts w:ascii="Times New Roman" w:cs="Times New Roman" w:eastAsia="Times New Roman" w:hAnsi="Times New Roman"/>
          <w:sz w:val="18"/>
          <w:szCs w:val="18"/>
          <w:b w:val="1"/>
          <w:bCs w:val="1"/>
          <w:color w:val="auto"/>
        </w:rPr>
      </w:pPr>
    </w:p>
    <w:p>
      <w:pPr>
        <w:ind w:left="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Cayman Islands currently has no exchange control regulations or currency restrictions.</w:t>
      </w:r>
    </w:p>
    <w:p>
      <w:pPr>
        <w:spacing w:after="0" w:line="180"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89"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The following summary describes certain material Cayman Islands, Norwegian and U.S. federal income tax considerations relating to the ownership and disposition of our ordinary shares and ADSs. This summary is based on the laws and administrative interpretations in effect as of the date of this annual report, all of which are subject to change.</w:t>
      </w:r>
    </w:p>
    <w:p>
      <w:pPr>
        <w:spacing w:after="0" w:line="14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This summary is of a general nature only and does not purport to be a complete description of all tax considerations that may be relevant to a particular holder. In particular, this summary does not address the tax consequences arising under the laws of any state, local, or non-U.S. jurisdiction other than the Cayman Islands and Norway, nor does it cover specific tax regimes such as estate and gift taxes or the impact of the Medicare contribution tax on net investment income. Because the tax consequences to any particular holder will depend on their unique circumstances, each holder is strongly urged to consult their own tax advisor regarding the specific federal, state, local, and other tax consequences of an investment in our ADSs or ordinary shares.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 Tax Considerations</w:t>
      </w:r>
    </w:p>
    <w:p>
      <w:pPr>
        <w:spacing w:after="0" w:line="189"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 Cayman Islands currently impose no income, corporate, capital gains, withholding, estate, inheritance or gift taxes on individuals or corporations. Accordingly, no Cayman Islands taxes are payable by holders of our ordinary shares or ADSs on dividends paid by us or on gains realized on the disposition of ordinary shares or ADSs.</w:t>
      </w:r>
    </w:p>
    <w:p>
      <w:pPr>
        <w:spacing w:after="0" w:line="14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There are no exchange control regulations or currency restrictions in the Cayman Islands. Stamp duty may be payable on certain instruments executed in, or brought into, the Cayman Islands, although such duties are not expected to be material to us or to holders of our ordinary shares or ADSs.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Norway Tax Considerations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summary describes certain material Norwegian tax considerations applicable to Norwegian tax-resident corporate holders of our ADSs.</w:t>
      </w:r>
    </w:p>
    <w:p>
      <w:pPr>
        <w:spacing w:after="0" w:line="196" w:lineRule="exact"/>
        <w:rPr>
          <w:sz w:val="20"/>
          <w:szCs w:val="20"/>
          <w:color w:val="auto"/>
        </w:rPr>
      </w:pPr>
    </w:p>
    <w:p>
      <w:pPr>
        <w:ind w:right="260" w:firstLine="374"/>
        <w:spacing w:after="0" w:line="258" w:lineRule="auto"/>
        <w:rPr>
          <w:sz w:val="20"/>
          <w:szCs w:val="20"/>
          <w:color w:val="auto"/>
        </w:rPr>
      </w:pPr>
      <w:r>
        <w:rPr>
          <w:rFonts w:ascii="Times New Roman" w:cs="Times New Roman" w:eastAsia="Times New Roman" w:hAnsi="Times New Roman"/>
          <w:sz w:val="18"/>
          <w:szCs w:val="18"/>
          <w:color w:val="auto"/>
        </w:rPr>
        <w:t>For Norwegian tax purposes, the ADSs represent an interest in shares of Opera Limited, a company incorporated in the Cayman Islands. As Opera Limited is resident in a low-tax jurisdiction outside the EEA, dividends received on the ADSs and gains realized on the disposal of the ADSs are not eligible for the Norwegian participation exemption. Accordingly, for Norwegian tax-resident limited liability companies and certain similar entities, dividends and capital gains derived from the ADSs are treated as taxable income and are subject to Norwegian corporate income tax at the prevailing corporate tax rate, which is currently 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Income Tax Considerations</w:t>
      </w:r>
    </w:p>
    <w:p>
      <w:pPr>
        <w:spacing w:after="0" w:line="202"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The following discussion describes the United States federal income tax consequences to a United States Holder (as defined below), under current law, of an investment in our ADSs or ordinary shares. This discussion is based on the federal income tax laws of the United States as of the date of this annual report, including the United States Internal Revenue Code of 1986, as amended, or the Code, existing and proposed Treasury regulations promulgated thereunder, judicial authority, published administrative positions of the IRS, and other applicable authorities, all as of the date of this annual report. All such authorities are subject to change, possibly with retroactive effect, which could significantly affect the tax consequences described below. We have not sought any ruling from the IRS with respect to the statements made and the conclusions reached in the following discussion and there can be no assurance that the IRS or a court will agree with them.</w:t>
      </w:r>
    </w:p>
    <w:p>
      <w:pPr>
        <w:spacing w:after="0" w:line="148"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This discussion applies only to a United States Holder (as defined below) that holds our ADSs or ordinary shares as capital assets for United States federal income tax purposes. The discussion neither addresses the tax consequences to any particular investor nor describes all of the tax consequences applicable to persons in special tax situations, such as:</w:t>
      </w:r>
    </w:p>
    <w:p>
      <w:pPr>
        <w:spacing w:after="0" w:line="135"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certain other financial institutions;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stocks and securities, or currencies;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use or are required to use a mark-to-market method of accounting;</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 subject to Section 877 or Section 877A of the Code;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subject to the United States anti-inversion rules;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and entities;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other than the U.S. dollar;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ordinary shares representing 10% or more of our total voting power or value;</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 employee equity grant or otherwise as compensation;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choose to be treated as a resident of the United States under Section 6013(g) election;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changed their tax residency status during the taxable year;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is an officer or director of our group;</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 partnerships or other pass-through entities, or persons holding ADSs or ordinary shares through such entities;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right="2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our ADSs or ordinary shares as a result of such income being recognized on an applicable financial statement; or</w:t>
      </w:r>
    </w:p>
    <w:p>
      <w:pPr>
        <w:spacing w:after="0" w:line="134" w:lineRule="exact"/>
        <w:rPr>
          <w:rFonts w:ascii="Times New Roman" w:cs="Times New Roman" w:eastAsia="Times New Roman" w:hAnsi="Times New Roman"/>
          <w:sz w:val="18"/>
          <w:szCs w:val="18"/>
          <w:color w:val="auto"/>
        </w:rPr>
      </w:pPr>
    </w:p>
    <w:p>
      <w:pPr>
        <w:ind w:left="760" w:right="48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held, directly, indirectly or by attribution, ADSs or ordinary shares or other ownership interests in us prior to our initial public offering.</w:t>
      </w:r>
    </w:p>
    <w:p>
      <w:pPr>
        <w:spacing w:after="0" w:line="121"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This discussion, moreover, does not address the United States federal estate, gift, Medicare, or alternative minimum tax considerations, or any state, local or non-United States tax considerations, relating to the ownership and disposition of our ADSs or ordinary shares.</w:t>
      </w:r>
    </w:p>
    <w:p>
      <w:pPr>
        <w:spacing w:after="0" w:line="121"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United States federal income tax purposes) holds our ADSs or ordinary shares, the tax treatment of a partner generally will depend upon the partner’s status of and the partnership’s activities. Such a partner or partnership should consult its tax advisors regarding the tax consequences of investing in and holding our ADSs or ordinary shares.</w:t>
      </w:r>
    </w:p>
    <w:p>
      <w:pPr>
        <w:spacing w:after="0" w:line="145" w:lineRule="exact"/>
        <w:rPr>
          <w:sz w:val="20"/>
          <w:szCs w:val="20"/>
          <w:color w:val="auto"/>
        </w:rPr>
      </w:pPr>
    </w:p>
    <w:p>
      <w:pPr>
        <w:jc w:val="both"/>
        <w:ind w:right="100"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THE FOLLOWING DISCUSSION IS FOR INFORMATIONAL PURPOSES ONLY AND IS NOT A SUBSTITUTE FOR CAREFUL TAX PLANNING AND ADVICE. HOLDERS SHOULD CONSULT THEIR TAX ADVISORS WITH RESPECT TO THE APPLICATION OF THE UNITED STATES FEDERAL INCOME TAX LAWS TO THEIR PARTICULAR SITUATIONS, AS WELL AS ANY TAX CONSEQUENCES ARISING UNDER THE UNITED STATES FEDERAL ESTATE OR GIFT TAX LAWS OR THE LAWS OF ANY STATE, LOCAL OR NON-UNITED STATES TAXING JURISDICTION OR UNDER ANY APPLICABLE TAX TREATY.</w:t>
      </w:r>
    </w:p>
    <w:p>
      <w:pPr>
        <w:spacing w:after="0" w:line="143" w:lineRule="exact"/>
        <w:rPr>
          <w:sz w:val="20"/>
          <w:szCs w:val="20"/>
          <w:color w:val="auto"/>
        </w:rPr>
      </w:pPr>
    </w:p>
    <w:p>
      <w:pPr>
        <w:jc w:val="both"/>
        <w:ind w:right="100" w:firstLine="374"/>
        <w:spacing w:after="0" w:line="282" w:lineRule="auto"/>
        <w:rPr>
          <w:sz w:val="20"/>
          <w:szCs w:val="20"/>
          <w:color w:val="auto"/>
        </w:rPr>
      </w:pPr>
      <w:r>
        <w:rPr>
          <w:rFonts w:ascii="Times New Roman" w:cs="Times New Roman" w:eastAsia="Times New Roman" w:hAnsi="Times New Roman"/>
          <w:sz w:val="18"/>
          <w:szCs w:val="18"/>
          <w:color w:val="auto"/>
        </w:rPr>
        <w:t>For purposes of the discussion below, a “United States Holder” is a beneficial owner of our ADSs or ordinary shares that is, for United States federal income tax purposes:</w:t>
      </w:r>
    </w:p>
    <w:p>
      <w:pPr>
        <w:spacing w:after="0" w:line="121"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 or</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jurisdiction over its administration and one or more United States persons have the authority to control all of its substantial decisions or (ii) in the case of a trust that was treated as a domestic trust under the law in effect before 1997, a valid election is in place under applicable Treasury regulations to treat such trust as a domestic trust.</w:t>
      </w:r>
    </w:p>
    <w:p>
      <w:pPr>
        <w:spacing w:after="0" w:line="14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discussion below assumes that the representations contained in the deposit agreement and any related agreement are true and that the obligations in such agreements will be complied with in accordance with their terms.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89"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If you own our ADSs, then you should be treated as the owner of the underlying ordinary shares represented by those ADSs for United States federal income tax purposes. Accordingly, deposits or withdrawals of ordinary shares for ADSs should not be subject to United States federal income tax.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 on our ADSs or Ordinary Shares</w:t>
      </w:r>
    </w:p>
    <w:p>
      <w:pPr>
        <w:spacing w:after="0" w:line="189" w:lineRule="exact"/>
        <w:rPr>
          <w:sz w:val="20"/>
          <w:szCs w:val="20"/>
          <w:color w:val="auto"/>
        </w:rPr>
      </w:pPr>
    </w:p>
    <w:p>
      <w:pPr>
        <w:jc w:val="both"/>
        <w:ind w:right="140" w:firstLine="374"/>
        <w:spacing w:after="0" w:line="261"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any distribution made to you with respect to our ADSs or ordinary shares (including any amounts withheld to reflect withholding taxes) will be taxable as a dividend, to the extent paid out of our current or accumulated earnings and profits, as determined under United States federal income tax principles. Such income (including any withheld taxes) will be includable in your gross income on the day actually or constructively received by you, if you own our ordinary shares, or by the depositary, if you own our ADSs.</w:t>
      </w:r>
    </w:p>
    <w:p>
      <w:pPr>
        <w:spacing w:after="0" w:line="13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Because we do not determine our earnings and profits under United States federal income tax principles, any distribution paid generally will be reported as a “dividend” for United States federal income tax purposes. Such dividends will not be eligible for the dividends-received deduction allowed to qualifying corporations under the Code.</w:t>
      </w:r>
    </w:p>
    <w:p>
      <w:pPr>
        <w:spacing w:after="0" w:line="149" w:lineRule="exact"/>
        <w:rPr>
          <w:sz w:val="20"/>
          <w:szCs w:val="20"/>
          <w:color w:val="auto"/>
        </w:rPr>
      </w:pPr>
    </w:p>
    <w:p>
      <w:pPr>
        <w:ind w:right="360" w:firstLine="374"/>
        <w:spacing w:after="0" w:line="258" w:lineRule="auto"/>
        <w:rPr>
          <w:sz w:val="20"/>
          <w:szCs w:val="20"/>
          <w:color w:val="auto"/>
        </w:rPr>
      </w:pPr>
      <w:r>
        <w:rPr>
          <w:rFonts w:ascii="Times New Roman" w:cs="Times New Roman" w:eastAsia="Times New Roman" w:hAnsi="Times New Roman"/>
          <w:sz w:val="18"/>
          <w:szCs w:val="18"/>
          <w:color w:val="auto"/>
        </w:rPr>
        <w:t>Dividends received by a non-corporate United States Holder may qualify for the lower tax rates applicable to “qualified dividend income,” if the dividends are paid by a “qualified foreign corporation” and other conditions are met. A non-United States corporation is treated as a qualified foreign corporation (i) with respect to dividends paid by that corporation on shares (or ADSs backed by such shares) that are readily tradable on an established securities market in the United States or (ii) if such non-United States corporation is eligible for the benefits of a qualifying income tax treaty with the United States that includes an exchange of information program. We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do not expect to be eligible for such treaty benefits. In addition, a non-United States corporation will not be treated as a qualified foreign corporation if it is a PFIC in the taxable year the dividend is paid or the preceding taxable year.</w:t>
      </w:r>
    </w:p>
    <w:p>
      <w:pPr>
        <w:spacing w:after="0" w:line="135"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Under a published IRS Notice, common or ordinary shares, or ADSs representing such shares (such as our ADSs), are considered to be readily tradable on an established securities market in the United States if they are listed on the Nasdaq Global Select Market, as our ADSs are (but not our ordinary shares). Based on existing guidance, it is unclear whether the ordinary shares will be considered to be readily tradable on an established securities market in the United States, because only our ADSs, and not the underlying ordinary shares, are listed on a securities market in the United States. We believe, but we cannot assure you, that dividends paid on ordinary shares represented by our ADSs, but not on the ordinary shares that are not so represented, will, subject to applicable limitations, be eligible for the reduced tax rates applicable to “qualified dividend income.”</w:t>
      </w:r>
    </w:p>
    <w:p>
      <w:pPr>
        <w:spacing w:after="0" w:line="147"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Even if dividends would be treated as paid by a qualified foreign corporation, a non-corporate United States Holder will not be eligible for reduced rates of taxation if it does not hold our ADSs or ordinary shares for more than 60 days during the 121-day period beginning 60 days before the ex-dividend date (disregarding certain periods when the holder's risk of loss is diminished) or if such United States Holder elects to treat the dividend income as “investment income” under Section 163(d)(4) of the Code. In addition, the rate reduction will not apply if the non-corporate United States Holder is obligated to make related payments on substantially similar or related property.</w:t>
      </w:r>
    </w:p>
    <w:p>
      <w:pPr>
        <w:spacing w:after="0" w:line="143"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Any non-United States withholding taxes imposed on dividends paid to you with respect to our ADSs or ordinary shares may be eligible for deduction or credit against your United States federal income tax liability, subject to the various limitations and disallowance rules that apply to foreign tax credits generally (including that the election to deduct or credit foreign taxes applies to all of your other applicable foreign taxes for a particular tax year). For calculating the foreign tax credit limitation, dividends paid to you will be treated as income from sources outside the United States and generally will constitute passive category income, or in certain cases, general category income. The rules for determining the foreign tax credit are complex, and you should consult your tax advisors regarding the availability in your circumstances.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 of our ADSs or Ordinary Shares</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You will recognize gain or loss on a sale or exchange of our ADSs or ordinary shares in an amount equal to the difference between the amount realized on the sale or exchange and your tax basis in our ADSs or ordinary shares. Subject to the discussion under “—Passive Foreign Investment Company” below, such gain or loss generally will be capital gain or loss. Capital gains of a non-corporate United States Holder, including an individual that has held our ADSs or ordinary shares for more than one year currently are eligible for reduced tax rates. The deductibility of capital losses is subject to limitations.</w:t>
      </w:r>
    </w:p>
    <w:p>
      <w:pPr>
        <w:spacing w:after="0" w:line="143"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Any gain or loss that you recognize on a disposition of our ADSs or ordinary shares generally will be treated as United States-source income or loss for foreign tax credit limitation purposes. Under U.S. regulations, non-United States withholding tax imposed on such U.S. source gain may not constitute a creditable tax.</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89"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Based on the market price of our ADSs, our assets’ value and the nature and composition of our income and assets, we do not believe that we were a PFIC for United States federal income tax purposes for our taxable year ended December 31, 2025, although there can be no assurances in this regard. The determination of PFIC status is based on an annual determination that cannot be made until the close of a taxable year, involves extensive factual investigation, including ascertaining the fair market value of all of our assets on a quarterly basis and the character of each item of income that we earn, and is subject to uncertainty in several respects. Moreover, we cannot assure you that the IRS will agree with our position. Accordingly, there can be no assurance that we will not be treated as a PFIC for any taxable year or that the IRS will not challenge our determination.</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will be treated as a PFIC for United States federal income tax purposes for any taxable year if, applying applicable look-through rules, either:</w:t>
      </w:r>
    </w:p>
    <w:p>
      <w:pPr>
        <w:spacing w:after="0" w:line="198" w:lineRule="exact"/>
        <w:rPr>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such year is passive income; or</w:t>
      </w:r>
    </w:p>
    <w:p>
      <w:pPr>
        <w:spacing w:after="0" w:line="184"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(generally determined based on a quarterly average) during such year is attributable to assets that produce or are held for the production of passive income.</w:t>
      </w:r>
    </w:p>
    <w:p>
      <w:pPr>
        <w:spacing w:after="0" w:line="121"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Changes in the nature or composition of our income or assets, including from our investment in new businesses, products, services and technologies, may cause us to be or become a PFIC. Whether we will be a PFIC for any taxable year may depend partly on the value of our goodwill and other unrecorded intangibles not reflected on our balance sheet (which may depend upon the market value of our ADSs or ordinary shares from time to time, which may be volatile) and may also be affected by how, and how quickly, we spend our liquid assets and the cash we generate from our operations and offering. In estimating the value of our goodwill and other unrecorded intangibles, we have considered our market capitalization. Among other matters, if our market capitalization declines, we may be or become a PFIC for the current or future taxable years because our liquid assets and cash (which are for this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purpose considered assets that produce passive income) may then represent a greater percentage of the value of our overall assets. Further, while we believe our classification and valuation approach are reasonable, the IRS could challenge them, potentially resulting in our being or becoming a PFIC for our taxable year ended December 31, 2025, the current taxable year or future taxable years.</w:t>
      </w:r>
    </w:p>
    <w:p>
      <w:pPr>
        <w:spacing w:after="0" w:line="149"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your holding period, we will continue to be treated as a PFIC with respect to you for all succeeding years during which you hold our ADSs or ordinary shares, unless we were to cease to be a PFIC and you make a “deemed sale” election. Under that election, you will be deemed to have sold the ADSs or ordinary shares you hold at their fair market value and any gain from such deemed sale would be subject to the rules described in the following two paragraphs. After the election, provided we do not become a PFIC in a subsequent taxable year, such ADSs or ordinary shares will not be treated as shares in a PFIC and, as a result, you will not be subject to the rules described below with respect to any “excess distribution” you receive from us or any gain from a sale or other taxable disposition of our ADSs or ordinary shares. You should consult your tax advisors as to the possibility and consequences of making a deemed sale election if we are and then cease to be a PFIC.</w:t>
      </w:r>
    </w:p>
    <w:p>
      <w:pPr>
        <w:spacing w:after="0" w:line="148"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your holding period for our ADSs or ordinary shares, then, unless you make a “mark-to-market” election (as discussed below), you generally will be subject to adverse tax rules with respect to any “excess distribution” received from us and any gain that you recognize from a sale or other disposition, including a pledge, of the ADSs or ordinary shares. For this purpose, distributions that you receive in a taxable year that are greater than 125% of the average annual distributions during the shorter of the three preceding taxable years or your holding period. Under these rules:</w:t>
      </w:r>
    </w:p>
    <w:p>
      <w:pPr>
        <w:spacing w:after="0" w:line="143"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recognized gain will be allocated ratably over your holding period for the ADSs or ordinary shares;</w:t>
      </w:r>
    </w:p>
    <w:p>
      <w:pPr>
        <w:spacing w:after="0" w:line="198"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the taxable year of distribution or gain, and to any taxable years in your holding period prior to the first taxable year in which we were treated as a PFIC, will be treated as ordinary income; and</w:t>
      </w:r>
    </w:p>
    <w:p>
      <w:pPr>
        <w:spacing w:after="0" w:line="121" w:lineRule="exact"/>
        <w:rPr>
          <w:rFonts w:ascii="Times New Roman" w:cs="Times New Roman" w:eastAsia="Times New Roman" w:hAnsi="Times New Roman"/>
          <w:sz w:val="18"/>
          <w:szCs w:val="18"/>
          <w:color w:val="auto"/>
        </w:rPr>
      </w:pPr>
    </w:p>
    <w:p>
      <w:pPr>
        <w:jc w:val="both"/>
        <w:ind w:left="760" w:right="280" w:hanging="378"/>
        <w:spacing w:after="0" w:line="266"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recognized gain allocated to each other taxable year will be subject to the highest tax rate in effect for individuals or corporations, as applicable, for each such year and the resulting tax will be subject to the interest charge generally applicable to underpayments of tax.</w:t>
      </w:r>
    </w:p>
    <w:p>
      <w:pPr>
        <w:spacing w:after="0" w:line="135" w:lineRule="exact"/>
        <w:rPr>
          <w:sz w:val="20"/>
          <w:szCs w:val="20"/>
          <w:color w:val="auto"/>
        </w:rPr>
      </w:pPr>
    </w:p>
    <w:p>
      <w:pPr>
        <w:ind w:right="200" w:firstLine="374"/>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your holding period for our ADSs or ordinary shares and any of our non-United States subsidiaries that are corporations (or other corporations in which we directly or indirectly own equity interests) is also a PFIC. You should consult your tax advisors regarding the application of the PFIC rules to any of our lower-tier PFICs.</w:t>
      </w:r>
    </w:p>
    <w:p>
      <w:pPr>
        <w:spacing w:after="0" w:line="149"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during your holding period, then in lieu of being subject to the tax and interest-charge rules discussed above, you may make an election to include gain on our ADSs or ordinary shares as ordinary income under a mark-to-market method, provided that such ADSs or ordinary shares constitute “marketable stock.” Marketable stock is stock that is regularly traded on a qualified exchange or other market, as defined in applicable Treasury regulations. Our ADSs, but not our ordinary shares, are listed on the Nasdaq Global Select Market, which is a qualified exchange or other market for these purposes. Consequently, as long as our ADSs remain listed on the Nasdaq Global Select Market and are regularly traded, and you are a holder of such ADSs, we expect that the mark-to-market election would be available to you if we were a PFIC, but no assurances are given in this regard.</w:t>
      </w:r>
    </w:p>
    <w:p>
      <w:pPr>
        <w:spacing w:after="0" w:line="147" w:lineRule="exact"/>
        <w:rPr>
          <w:sz w:val="20"/>
          <w:szCs w:val="20"/>
          <w:color w:val="auto"/>
        </w:rPr>
      </w:pPr>
    </w:p>
    <w:p>
      <w:pPr>
        <w:ind w:right="180" w:firstLine="374"/>
        <w:spacing w:after="0" w:line="261" w:lineRule="auto"/>
        <w:rPr>
          <w:sz w:val="20"/>
          <w:szCs w:val="20"/>
          <w:color w:val="auto"/>
        </w:rPr>
      </w:pPr>
      <w:r>
        <w:rPr>
          <w:rFonts w:ascii="Times New Roman" w:cs="Times New Roman" w:eastAsia="Times New Roman" w:hAnsi="Times New Roman"/>
          <w:sz w:val="18"/>
          <w:szCs w:val="18"/>
          <w:color w:val="auto"/>
        </w:rPr>
        <w:t>Because a mark-to-market election cannot be made for any lower-tier PFICs we may own, if we were a PFIC for any taxable year, a United States Holder that makes a mark-to-market election with respect to our ADSs or ordinary shares may continue to be subject to the tax and interest charges under the general PFIC rules with respect to such United States Holder’s indirect interest in any investments held by us that are treated as an equity interest in a PFIC.</w:t>
      </w:r>
    </w:p>
    <w:p>
      <w:pPr>
        <w:spacing w:after="0" w:line="13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In certain circumstances, a United States Holder of shares in a PFIC may avoid the adverse tax and interest-charge regime described above by making a “qualified electing fund” election to include in income its share of the corporation’s income on a current basis. However, you may make a qualified electing fund election with respect to our ADSs or ordinary shares only if we agree to furnish you annually with a PFIC annual information statement as specified in the applicable Treasury regulations. We currently do not intend to prepare or provide the information that would enable you to make a qualified electing fund election.</w:t>
      </w:r>
    </w:p>
    <w:p>
      <w:pPr>
        <w:spacing w:after="0" w:line="156"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A United States Holder of our ADSs or ordinary shares in any year in which we are a PFIC should file an annual report containing such information. In addition, under certain circumstances, regulations also require a “United States person” (as such term is defined in the Code) that owns an interest in a PFIC as an indirect shareholder through one or more United States persons to file an annual report for any taxable year during which such indirect shareholder is treated as receiving an excess distribution in connection with the ownership or disposition of such interest, or reports income pursuant to a mark-to-market election.</w:t>
      </w:r>
    </w:p>
    <w:p>
      <w:pPr>
        <w:spacing w:after="0" w:line="143"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You should consult your tax advisors regarding the PFIC rules to your ownership and disposition of our ADSs or ordinary shares and the availability, application and consequences of the elections discussed above.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0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Information reporting to the IRS and backup withholding generally apply to dividends on our ADSs or ordinary shares, and the proceeds from the sale or exchange, that are paid to you within the United States (and in certain cases, outside the United States), unless you furnish a correct taxpayer identification number and make any other required certification, or you otherwise establish an exemption from information reporting and backup withholding. Backup withholding is not an additional tax. Amounts withheld generally are allowed as a credit against your United States federal income tax liability, and you may be entitled to obtain a refund of any excess amounts withheld under the backup withholding rules if you file an appropriate claim for refund with the IRS and furnish any required information in a timely manner.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with Respect to Foreign Financial Assets</w:t>
      </w:r>
    </w:p>
    <w:p>
      <w:pPr>
        <w:spacing w:after="0" w:line="18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United States Holders who are individuals (and certain entities closely held by individuals) generally will be required to report our name, address and such information relating to an interest in our ADSs or ordinary shares as is necessary to identify the class or issue of which our ADSs or ordinary shares are a part. These requirements are subject to exceptions, including an exception for ADSs or ordinary shares held in accounts maintained by certain financial institutions and an exception applicable if the aggregate value of all “specified foreign financial assets” (as defined in the Code) does not exceed $50,000 (and in some circumstances, a higher threshold).</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United States Holders should consult their tax advisors regarding the application of these information reporting rules.</w:t>
      </w:r>
    </w:p>
    <w:p>
      <w:pPr>
        <w:spacing w:after="0" w:line="181" w:lineRule="exact"/>
        <w:rPr>
          <w:sz w:val="20"/>
          <w:szCs w:val="20"/>
          <w:color w:val="auto"/>
        </w:rPr>
      </w:pPr>
    </w:p>
    <w:p>
      <w:pPr>
        <w:ind w:left="380" w:right="8600" w:hanging="372"/>
        <w:spacing w:after="0" w:line="461" w:lineRule="auto"/>
        <w:tabs>
          <w:tab w:leader="none" w:pos="3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right="9200" w:hanging="372"/>
        <w:spacing w:after="0" w:line="480" w:lineRule="auto"/>
        <w:tabs>
          <w:tab w:leader="none" w:pos="38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Statement by Experts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80" w:hanging="372"/>
        <w:spacing w:after="0"/>
        <w:tabs>
          <w:tab w:leader="none" w:pos="38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on Display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file annual reports on Form 20-F and furnish other reports and information on Form 6-K to the SEC.</w:t>
      </w:r>
    </w:p>
    <w:p>
      <w:pPr>
        <w:spacing w:after="0" w:line="166"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and other information regarding issuers that file electronically. We also make these filings available free of charge on our investor relations website at investor.opera.com as soon as reasonably practicable after such material is filed with or furnished to the SEC. Information contained on, or accessible through, our website is not incorporated by reference into this annual report.</w:t>
      </w:r>
    </w:p>
    <w:p>
      <w:pPr>
        <w:spacing w:after="0" w:line="135" w:lineRule="exact"/>
        <w:rPr>
          <w:sz w:val="20"/>
          <w:szCs w:val="20"/>
          <w:color w:val="auto"/>
        </w:rPr>
      </w:pPr>
    </w:p>
    <w:p>
      <w:pPr>
        <w:ind w:right="520" w:firstLine="374"/>
        <w:spacing w:after="0" w:line="266" w:lineRule="auto"/>
        <w:rPr>
          <w:sz w:val="20"/>
          <w:szCs w:val="20"/>
          <w:color w:val="auto"/>
        </w:rPr>
      </w:pPr>
      <w:r>
        <w:rPr>
          <w:rFonts w:ascii="Times New Roman" w:cs="Times New Roman" w:eastAsia="Times New Roman" w:hAnsi="Times New Roman"/>
          <w:sz w:val="18"/>
          <w:szCs w:val="18"/>
          <w:color w:val="auto"/>
        </w:rPr>
        <w:t>As a foreign private issuer, we are exempt from certain Exchange Act rules, including those prescribing the furnishing and content of proxy statements. Additionally, our periodic reports are filed on a different schedule and contain different information than those required of U.S. domestic issuers.</w:t>
      </w:r>
    </w:p>
    <w:p>
      <w:pPr>
        <w:spacing w:after="0" w:line="145" w:lineRule="exact"/>
        <w:rPr>
          <w:sz w:val="20"/>
          <w:szCs w:val="20"/>
          <w:color w:val="auto"/>
        </w:rPr>
      </w:pPr>
    </w:p>
    <w:p>
      <w:pPr>
        <w:ind w:left="380" w:right="9040" w:hanging="372"/>
        <w:spacing w:after="0" w:line="453" w:lineRule="auto"/>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Subsidiary Information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Report to Security Holders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89" w:lineRule="exact"/>
        <w:rPr>
          <w:sz w:val="20"/>
          <w:szCs w:val="20"/>
          <w:color w:val="auto"/>
        </w:rPr>
      </w:pPr>
    </w:p>
    <w:p>
      <w:pPr>
        <w:ind w:right="160" w:firstLine="374"/>
        <w:spacing w:after="0" w:line="282" w:lineRule="auto"/>
        <w:rPr>
          <w:sz w:val="20"/>
          <w:szCs w:val="20"/>
          <w:color w:val="auto"/>
        </w:rPr>
      </w:pPr>
      <w:r>
        <w:rPr>
          <w:rFonts w:ascii="Times New Roman" w:cs="Times New Roman" w:eastAsia="Times New Roman" w:hAnsi="Times New Roman"/>
          <w:sz w:val="18"/>
          <w:szCs w:val="18"/>
          <w:color w:val="auto"/>
        </w:rPr>
        <w:t>Quantitative and qualitative disclosures about our exposure to market risks are provided in Note 15 to our consolidated financial statements included elsewhere in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85" w:lineRule="exact"/>
        <w:rPr>
          <w:sz w:val="20"/>
          <w:szCs w:val="20"/>
          <w:color w:val="auto"/>
        </w:rPr>
      </w:pPr>
    </w:p>
    <w:p>
      <w:pPr>
        <w:jc w:val="both"/>
        <w:ind w:left="380" w:right="9700" w:hanging="372"/>
        <w:spacing w:after="0" w:line="488" w:lineRule="auto"/>
        <w:tabs>
          <w:tab w:leader="none" w:pos="38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Securities </w:t>
      </w:r>
      <w:r>
        <w:rPr>
          <w:rFonts w:ascii="Times New Roman" w:cs="Times New Roman" w:eastAsia="Times New Roman" w:hAnsi="Times New Roman"/>
          <w:sz w:val="17"/>
          <w:szCs w:val="17"/>
          <w:color w:val="auto"/>
        </w:rPr>
        <w:t>Not applicable.</w:t>
      </w:r>
    </w:p>
    <w:p>
      <w:pPr>
        <w:spacing w:after="0" w:line="1" w:lineRule="exact"/>
        <w:rPr>
          <w:rFonts w:ascii="Times New Roman" w:cs="Times New Roman" w:eastAsia="Times New Roman" w:hAnsi="Times New Roman"/>
          <w:sz w:val="17"/>
          <w:szCs w:val="17"/>
          <w:b w:val="1"/>
          <w:bCs w:val="1"/>
          <w:color w:val="auto"/>
        </w:rPr>
      </w:pPr>
    </w:p>
    <w:p>
      <w:pPr>
        <w:ind w:left="380" w:right="9220" w:hanging="372"/>
        <w:spacing w:after="0" w:line="456" w:lineRule="auto"/>
        <w:tabs>
          <w:tab w:leader="none" w:pos="3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Warrants and Rights </w:t>
      </w: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256"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380" w:right="9540" w:hanging="372"/>
        <w:spacing w:after="0" w:line="461" w:lineRule="auto"/>
        <w:tabs>
          <w:tab w:leader="none" w:pos="3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Securities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American Depositary Shares</w:t>
      </w:r>
    </w:p>
    <w:p>
      <w:pPr>
        <w:spacing w:after="0" w:line="189"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Bank of New York Mellon, as depositary, registered and delivered ADSs. The depositary’s office at which the ADSs are administered and its principal executive office is located at 240 Greenwich Street, New York, New York 10286.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202"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Our ADS holders are required to pay the following service fees to the depositary bank, The Bank of New York Mellon, and certain taxes and governmental charges (in addition to any applicable fees, expenses, taxes and other governmental charges payable on the deposited securities represented by any of ADSs):</w:t>
      </w:r>
    </w:p>
    <w:p>
      <w:pPr>
        <w:sectPr>
          <w:pgSz w:w="11900" w:h="16838" w:orient="portrait"/>
          <w:cols w:equalWidth="0" w:num="1">
            <w:col w:w="11180"/>
          </w:cols>
          <w:pgMar w:left="320" w:top="256" w:right="399" w:bottom="1440" w:gutter="0" w:footer="0" w:header="0"/>
        </w:sectPr>
      </w:pP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Persons depositing or withdrawing shares or ADS holders must pay:</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$5.00 (or less) per 100 ADSs (or portion of 100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3711575" cy="4286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711575" cy="42862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$0.05 (or less) 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115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7" w:lineRule="exact"/>
        <w:rPr>
          <w:sz w:val="20"/>
          <w:szCs w:val="20"/>
          <w:color w:val="auto"/>
        </w:rPr>
      </w:pPr>
    </w:p>
    <w:p>
      <w:pPr>
        <w:ind w:left="20" w:right="100"/>
        <w:spacing w:after="0" w:line="258"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3711575" cy="2825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711575" cy="282575"/>
                    </a:xfrm>
                    <a:prstGeom prst="rect">
                      <a:avLst/>
                    </a:prstGeom>
                    <a:noFill/>
                  </pic:spPr>
                </pic:pic>
              </a:graphicData>
            </a:graphic>
          </wp:anchor>
        </w:drawing>
      </w:r>
    </w:p>
    <w:p>
      <w:pPr>
        <w:ind w:left="20" w:right="2840"/>
        <w:spacing w:after="0" w:line="292" w:lineRule="auto"/>
        <w:rPr>
          <w:sz w:val="20"/>
          <w:szCs w:val="20"/>
          <w:color w:val="auto"/>
        </w:rPr>
      </w:pPr>
      <w:r>
        <w:rPr>
          <w:rFonts w:ascii="Times New Roman" w:cs="Times New Roman" w:eastAsia="Times New Roman" w:hAnsi="Times New Roman"/>
          <w:sz w:val="18"/>
          <w:szCs w:val="18"/>
          <w:color w:val="auto"/>
        </w:rPr>
        <w:t>$0.05 (or less) per ADS per calendar year Registration or transfer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3711575" cy="291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711575" cy="291465"/>
                    </a:xfrm>
                    <a:prstGeom prst="rect">
                      <a:avLst/>
                    </a:prstGeom>
                    <a:noFill/>
                  </pic:spPr>
                </pic:pic>
              </a:graphicData>
            </a:graphic>
          </wp:anchor>
        </w:drawing>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00" w:lineRule="exact"/>
        <w:rPr>
          <w:sz w:val="20"/>
          <w:szCs w:val="20"/>
          <w:color w:val="auto"/>
        </w:rPr>
      </w:pPr>
    </w:p>
    <w:p>
      <w:pPr>
        <w:spacing w:after="0" w:line="255" w:lineRule="exact"/>
        <w:rPr>
          <w:sz w:val="20"/>
          <w:szCs w:val="20"/>
          <w:color w:val="auto"/>
        </w:rPr>
      </w:pPr>
    </w:p>
    <w:p>
      <w:pPr>
        <w:ind w:left="20"/>
        <w:spacing w:after="0" w:line="257" w:lineRule="auto"/>
        <w:rPr>
          <w:sz w:val="20"/>
          <w:szCs w:val="20"/>
          <w:color w:val="auto"/>
        </w:rPr>
      </w:pPr>
      <w:r>
        <w:rPr>
          <w:rFonts w:ascii="Times New Roman" w:cs="Times New Roman" w:eastAsia="Times New Roman" w:hAnsi="Times New Roman"/>
          <w:sz w:val="18"/>
          <w:szCs w:val="18"/>
          <w:color w:val="auto"/>
        </w:rPr>
        <w:t>Taxes and other governmental charges the depositary or the custodian have to pay on any ADSs or shares underlying ADSs, such as stock transfer taxes, stamp duty or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3711575" cy="4286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711575" cy="428625"/>
                    </a:xfrm>
                    <a:prstGeom prst="rect">
                      <a:avLst/>
                    </a:prstGeom>
                    <a:noFill/>
                  </pic:spPr>
                </pic:pic>
              </a:graphicData>
            </a:graphic>
          </wp:anchor>
        </w:drawing>
      </w:r>
    </w:p>
    <w:p>
      <w:pPr>
        <w:ind w:left="20" w:right="120"/>
        <w:spacing w:after="0" w:line="276"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7115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t>
      </w:r>
    </w:p>
    <w:p>
      <w:pPr>
        <w:spacing w:after="0" w:line="3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 or cancellation of ADSs for the purpose of withdrawal, including if the deposit agreement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-418465</wp:posOffset>
            </wp:positionV>
            <wp:extent cx="3351530" cy="4286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51530"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Any cash distribution to ADS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3515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Distribution of securities distributed to holders of deposited securities (including rights) that are distributed by the depositary to ADS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3351530" cy="2825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51530" cy="282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Depositary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3515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Transfer and registration of shares on our share register to or from the </w:t>
      </w:r>
      <w:r>
        <w:rPr>
          <w:rFonts w:ascii="Times New Roman" w:cs="Times New Roman" w:eastAsia="Times New Roman" w:hAnsi="Times New Roman"/>
          <w:sz w:val="18"/>
          <w:szCs w:val="18"/>
          <w:u w:val="single" w:color="auto"/>
          <w:color w:val="auto"/>
        </w:rPr>
        <w:t xml:space="preserve">name of the depositary or its agent when you deposit or withdraw shares </w:t>
      </w:r>
      <w:r>
        <w:rPr>
          <w:rFonts w:ascii="Times New Roman" w:cs="Times New Roman" w:eastAsia="Times New Roman" w:hAnsi="Times New Roman"/>
          <w:sz w:val="18"/>
          <w:szCs w:val="18"/>
          <w:color w:val="auto"/>
        </w:rPr>
        <w:t>Cable and facsimile transmissions (when expressly provided in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-556260</wp:posOffset>
            </wp:positionV>
            <wp:extent cx="3351530" cy="2825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51530" cy="282575"/>
                    </a:xfrm>
                    <a:prstGeom prst="rect">
                      <a:avLst/>
                    </a:prstGeom>
                    <a:noFill/>
                  </pic:spPr>
                </pic:pic>
              </a:graphicData>
            </a:graphic>
          </wp:anchor>
        </w:drawing>
      </w:r>
    </w:p>
    <w:p>
      <w:pPr>
        <w:ind w:right="2080"/>
        <w:spacing w:after="0" w:line="276" w:lineRule="auto"/>
        <w:rPr>
          <w:sz w:val="20"/>
          <w:szCs w:val="20"/>
          <w:color w:val="auto"/>
        </w:rPr>
      </w:pPr>
      <w:r>
        <w:rPr>
          <w:rFonts w:ascii="Times New Roman" w:cs="Times New Roman" w:eastAsia="Times New Roman" w:hAnsi="Times New Roman"/>
          <w:sz w:val="18"/>
          <w:szCs w:val="18"/>
          <w:color w:val="auto"/>
        </w:rPr>
        <w:t>Converting foreign currency to U.S. dollars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-164465</wp:posOffset>
            </wp:positionV>
            <wp:extent cx="3351530" cy="4286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51530" cy="42862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154305</wp:posOffset>
            </wp:positionV>
            <wp:extent cx="33515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454" w:lineRule="exact"/>
        <w:rPr>
          <w:sz w:val="20"/>
          <w:szCs w:val="20"/>
          <w:color w:val="auto"/>
        </w:rPr>
      </w:pPr>
    </w:p>
    <w:p>
      <w:pPr>
        <w:sectPr>
          <w:pgSz w:w="11900" w:h="16838" w:orient="portrait"/>
          <w:cols w:equalWidth="0" w:num="2">
            <w:col w:w="5840" w:space="120"/>
            <w:col w:w="5220"/>
          </w:cols>
          <w:pgMar w:left="320" w:top="256" w:right="399" w:bottom="1440" w:gutter="0" w:footer="0" w:header="0"/>
          <w:type w:val="continuous"/>
        </w:sectPr>
      </w:pPr>
    </w:p>
    <w:p>
      <w:pPr>
        <w:ind w:right="360" w:firstLine="374"/>
        <w:spacing w:after="0" w:line="258" w:lineRule="auto"/>
        <w:rPr>
          <w:sz w:val="20"/>
          <w:szCs w:val="20"/>
          <w:color w:val="auto"/>
        </w:rPr>
      </w:pPr>
      <w:r>
        <w:rPr>
          <w:rFonts w:ascii="Times New Roman" w:cs="Times New Roman" w:eastAsia="Times New Roman" w:hAnsi="Times New Roman"/>
          <w:sz w:val="18"/>
          <w:szCs w:val="18"/>
          <w:color w:val="auto"/>
        </w:rPr>
        <w:t>The depositary collects its fees for depositary services from ADS holders and other persons depositing or surrendering ADSs, directly or through intermediaries acting on their behalf. Fees for distributions may be collected by deduction from the amounts distributed or, if applicable, by selling a portion of the distributed property to pay such fees. The depositary may also collect its annual depositary service fee by deducting it from cash distributions, by directly billing ADS holders, or by charging the accounts of participants in the applicable book-entry system. The depositary may generally refuse to perform fee-bearing services until applicable fees are paid.</w:t>
      </w:r>
    </w:p>
    <w:p>
      <w:pPr>
        <w:spacing w:after="0" w:line="143"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reimburse us for certain costs and expenses incurred in connection with the establishment and maintenance of the ADS program, waive fees or expenses for services provided to us, or share with us a portion of the fees collected from ADS holders. In performing its duties under the deposit agreement, the depositary may engage brokers, dealers, foreign exchange dealers or other service providers, including affiliates, which may earn fees, spreads or commissions in connection with those services.</w:t>
      </w:r>
    </w:p>
    <w:p>
      <w:pPr>
        <w:spacing w:after="0" w:line="139"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The depositary may convert foreign currency itself or through its affiliates and, in doing so, acts as principal for its own account and not as agent, adviser, broker or fiduciary for any other person. The depositary or its affiliates may earn revenue from such currency conversions, including transaction spreads, which they will retain for their own account. The exchange rate applied to any currency conversion is determined by the depositary or its affiliate based on applicable market factors, and may differ from rates available through other sources. The depositary makes no representation that the exchange rate used will be the most favorable rate available at the time. Information regarding the methodology used to determine exchange rates is available upon request.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by Depositary</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did not receive any payments from The Bank of New York Mellon, as depositary for our ADS program, during 2025.</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85" w:lineRule="exact"/>
        <w:rPr>
          <w:sz w:val="20"/>
          <w:szCs w:val="20"/>
          <w:color w:val="auto"/>
        </w:rPr>
      </w:pPr>
    </w:p>
    <w:p>
      <w:pPr>
        <w:ind w:left="380" w:hanging="372"/>
        <w:spacing w:after="0"/>
        <w:tabs>
          <w:tab w:leader="none" w:pos="3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 Controls and Procedures</w:t>
      </w:r>
    </w:p>
    <w:p>
      <w:pPr>
        <w:spacing w:after="0" w:line="202"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As of December 31, 2025, our management, with the participation of our Chief Executive Officer and Chief Financial Officer, performed an evaluation of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to ensure that information required to be disclosed in the reports we file or submit under the Exchange Act is recorded, processed, summarized, and reported within the time periods specified in the SEC’s rules and forms.</w:t>
      </w:r>
    </w:p>
    <w:p>
      <w:pPr>
        <w:spacing w:after="0" w:line="143"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Notwithstanding this conclusion, our management does not expect that our disclosure controls and procedures or our internal control over financial reporting will prevent or detect all errors and all fraud. In designing and evaluating our disclosure controls and procedures, management recognizes that any control system, no matter how well designed and operated, can provide only reasonable, not absolute, assurance that the objectives of the control system are met. Further, the design of a control system must reflect the fact that there are resource constraints, and management is required to apply its judgment in evaluating the benefits of possible controls and procedures relative to their costs. Because of the inherent limitations in all control systems, no evaluation of controls can provide absolute assurance that misstatements due to error or fraud will not occur, or that all control issues and instances of fraud, if any, within our company have been detected.</w:t>
      </w:r>
    </w:p>
    <w:p>
      <w:pPr>
        <w:spacing w:after="0" w:line="144" w:lineRule="exact"/>
        <w:rPr>
          <w:sz w:val="20"/>
          <w:szCs w:val="20"/>
          <w:color w:val="auto"/>
        </w:rPr>
      </w:pPr>
    </w:p>
    <w:p>
      <w:pPr>
        <w:ind w:left="380" w:hanging="372"/>
        <w:spacing w:after="0"/>
        <w:tabs>
          <w:tab w:leader="none" w:pos="3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Internal Control over Financial Reporting</w:t>
      </w:r>
    </w:p>
    <w:p>
      <w:pPr>
        <w:spacing w:after="0" w:line="202"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under the Exchange Act). Internal control over financial reporting is a process designed to provide reasonable assurance regarding the reliability of financial reporting and the preparation of consolidated financial statements in accordance with IFRS Accounting Standards. Management conducted an assessment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this assessment, management concluded that our internal control over financial reporting was effective as of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18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KPMG AS, our independent registered public accounting firm, as stated in its report included below.</w:t>
      </w:r>
    </w:p>
    <w:p>
      <w:pPr>
        <w:spacing w:after="0" w:line="131" w:lineRule="exact"/>
        <w:rPr>
          <w:sz w:val="20"/>
          <w:szCs w:val="20"/>
          <w:color w:val="auto"/>
        </w:rPr>
      </w:pPr>
    </w:p>
    <w:p>
      <w:pPr>
        <w:ind w:left="380" w:hanging="372"/>
        <w:spacing w:after="0"/>
        <w:tabs>
          <w:tab w:leader="none" w:pos="3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Opera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202"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Opera Limited and subsidiaries’ (the Company)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statements of financial position of the Company as of December 31, 2025 and 2024, the related consolidated statements of operations, comprehensive income, changes in equity, and cash flows for each of the years in the three-year period ended December 31, 2025, and the related notes (collectively, the consolidated financial statements), and our report dated March 27, 2026 expressed an unqualified opinion on those consolidated financial statements.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02"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02" w:lineRule="exact"/>
        <w:rPr>
          <w:sz w:val="20"/>
          <w:szCs w:val="20"/>
          <w:color w:val="auto"/>
        </w:rPr>
      </w:pPr>
    </w:p>
    <w:p>
      <w:pPr>
        <w:ind w:right="60" w:firstLine="374"/>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IFRS Accounting Standards.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IFRS Accounting Standards,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Oslo, Norway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162"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As disclosed in our annual report on Form 20-F for the fiscal year ended December 31, 2024, management identified a material weakness related to the design and implementation of certain business process controls, including those over the completeness and accuracy of information used in those processes.</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2025, we successfully remediated this material weakness by:</w:t>
      </w:r>
    </w:p>
    <w:p>
      <w:pPr>
        <w:spacing w:after="0" w:line="185" w:lineRule="exact"/>
        <w:rPr>
          <w:sz w:val="20"/>
          <w:szCs w:val="20"/>
          <w:color w:val="auto"/>
        </w:rPr>
      </w:pPr>
    </w:p>
    <w:p>
      <w:pPr>
        <w:ind w:left="760" w:hanging="378"/>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the design and implementation of the relevant business process controls, including enhanced validation of data inputs;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standardizing control documentation to ensure consistent execution across the organization;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targeted training for personnel responsible for the operation of these controls.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Management tested these remediated controls and concluded they were operating effectively as of December 31, 2025.</w:t>
      </w:r>
    </w:p>
    <w:p>
      <w:pPr>
        <w:spacing w:after="0" w:line="18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Other than the remediation efforts described above, there were no changes in our internal control over financial reporting during the period covered by this annual report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89"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Lori Wheeler Næss, an independent director and the chair of our audit committee, qualifies as an “audit committee financial expert” within the meaning of the SEC rules and possesses financial sophistication within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 of the Nasdaq Stock Market Rules. Ms. Næss meets the independence standards under Rule 10A-3 under the Exchange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89"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chief executive officer and chief financial officer. Our code of business conduct and ethics is available on our website at investor.opera.com.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02"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KPMG AS, Oslo, Norway (PCAOB ID 1363), is our independent registered public accounting firm. The following table sets forth the estimated aggregate fees for professional services and other services rendered by KPMG AS for the years ended December 31, 2024 and 2025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4"/>
                <w:szCs w:val="24"/>
                <w:color w:val="auto"/>
                <w:vertAlign w:val="superscript"/>
              </w:rPr>
              <w:t>(1)</w:t>
            </w:r>
          </w:p>
        </w:tc>
        <w:tc>
          <w:tcPr>
            <w:tcW w:w="3120" w:type="dxa"/>
            <w:vAlign w:val="bottom"/>
          </w:tcPr>
          <w:p>
            <w:pPr>
              <w:spacing w:after="0"/>
              <w:rPr>
                <w:sz w:val="17"/>
                <w:szCs w:val="17"/>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7"/>
                <w:szCs w:val="17"/>
                <w:color w:val="auto"/>
              </w:rPr>
            </w:pPr>
          </w:p>
        </w:tc>
        <w:tc>
          <w:tcPr>
            <w:tcW w:w="132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620" w:type="dxa"/>
            <w:vAlign w:val="bottom"/>
            <w:vMerge w:val="continue"/>
          </w:tcPr>
          <w:p>
            <w:pPr>
              <w:spacing w:after="0"/>
              <w:rPr>
                <w:sz w:val="13"/>
                <w:szCs w:val="13"/>
                <w:color w:val="auto"/>
              </w:rPr>
            </w:pPr>
          </w:p>
        </w:tc>
        <w:tc>
          <w:tcPr>
            <w:tcW w:w="3120" w:type="dxa"/>
            <w:vAlign w:val="bottom"/>
          </w:tcPr>
          <w:p>
            <w:pPr>
              <w:spacing w:after="0"/>
              <w:rPr>
                <w:sz w:val="13"/>
                <w:szCs w:val="13"/>
                <w:color w:val="auto"/>
              </w:rPr>
            </w:pPr>
          </w:p>
        </w:tc>
        <w:tc>
          <w:tcPr>
            <w:tcW w:w="1040" w:type="dxa"/>
            <w:vAlign w:val="bottom"/>
            <w:tcBorders>
              <w:top w:val="single" w:sz="8" w:color="auto"/>
            </w:tcBorders>
          </w:tcPr>
          <w:p>
            <w:pPr>
              <w:jc w:val="right"/>
              <w:ind w:right="856"/>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2,518</w:t>
            </w:r>
          </w:p>
        </w:tc>
        <w:tc>
          <w:tcPr>
            <w:tcW w:w="280" w:type="dxa"/>
            <w:vAlign w:val="bottom"/>
          </w:tcPr>
          <w:p>
            <w:pPr>
              <w:spacing w:after="0"/>
              <w:rPr>
                <w:sz w:val="13"/>
                <w:szCs w:val="13"/>
                <w:color w:val="auto"/>
              </w:rPr>
            </w:pPr>
          </w:p>
        </w:tc>
        <w:tc>
          <w:tcPr>
            <w:tcW w:w="1040" w:type="dxa"/>
            <w:vAlign w:val="bottom"/>
            <w:tcBorders>
              <w:top w:val="single" w:sz="8" w:color="auto"/>
            </w:tcBorders>
          </w:tcPr>
          <w:p>
            <w:pPr>
              <w:jc w:val="right"/>
              <w:ind w:right="876"/>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4"/>
                <w:szCs w:val="24"/>
                <w:color w:val="auto"/>
                <w:vertAlign w:val="superscript"/>
              </w:rPr>
              <w:t>(2)</w:t>
            </w:r>
          </w:p>
        </w:tc>
        <w:tc>
          <w:tcPr>
            <w:tcW w:w="3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4"/>
                <w:szCs w:val="24"/>
                <w:color w:val="auto"/>
                <w:vertAlign w:val="superscript"/>
              </w:rPr>
              <w:t>(3)</w:t>
            </w:r>
          </w:p>
        </w:tc>
        <w:tc>
          <w:tcPr>
            <w:tcW w:w="3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62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4"/>
                <w:szCs w:val="24"/>
                <w:color w:val="auto"/>
                <w:vertAlign w:val="superscript"/>
              </w:rPr>
              <w:t>(4)</w:t>
            </w:r>
          </w:p>
        </w:tc>
        <w:tc>
          <w:tcPr>
            <w:tcW w:w="31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4160" w:type="dxa"/>
            <w:vAlign w:val="bottom"/>
            <w:gridSpan w:val="2"/>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320" w:type="dxa"/>
            <w:vAlign w:val="bottom"/>
            <w:gridSpan w:val="2"/>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620" w:type="dxa"/>
            <w:vAlign w:val="bottom"/>
            <w:tcBorders>
              <w:top w:val="single" w:sz="8" w:color="CFF0FC"/>
            </w:tcBorders>
          </w:tcPr>
          <w:p>
            <w:pPr>
              <w:spacing w:after="0" w:line="201" w:lineRule="exact"/>
              <w:rPr>
                <w:sz w:val="20"/>
                <w:szCs w:val="20"/>
                <w:color w:val="auto"/>
              </w:rPr>
            </w:pPr>
            <w:r>
              <w:rPr>
                <w:rFonts w:ascii="Times New Roman" w:cs="Times New Roman" w:eastAsia="Times New Roman" w:hAnsi="Times New Roman"/>
                <w:sz w:val="18"/>
                <w:szCs w:val="18"/>
                <w:color w:val="auto"/>
              </w:rPr>
              <w:t>_______________</w:t>
            </w:r>
          </w:p>
        </w:tc>
        <w:tc>
          <w:tcPr>
            <w:tcW w:w="312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1323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-584835</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-165100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-147955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560" w:hanging="372"/>
        <w:spacing w:after="0" w:line="257" w:lineRule="auto"/>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Audit fees </w:t>
      </w:r>
      <w:r>
        <w:rPr>
          <w:rFonts w:ascii="Times New Roman" w:cs="Times New Roman" w:eastAsia="Times New Roman" w:hAnsi="Times New Roman"/>
          <w:sz w:val="16"/>
          <w:szCs w:val="16"/>
          <w:color w:val="auto"/>
        </w:rPr>
        <w:t>include the audit of our annual financial statements and services that are normally provided by the independent registered public accounting firm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connection with statutory and regulatory filings or engagements for those fiscal years including review of documents filed with the SEC.</w:t>
      </w:r>
    </w:p>
    <w:p>
      <w:pPr>
        <w:ind w:left="380" w:right="140" w:hanging="372"/>
        <w:spacing w:after="0" w:line="264" w:lineRule="auto"/>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Audit-related fees </w:t>
      </w:r>
      <w:r>
        <w:rPr>
          <w:rFonts w:ascii="Times New Roman" w:cs="Times New Roman" w:eastAsia="Times New Roman" w:hAnsi="Times New Roman"/>
          <w:sz w:val="16"/>
          <w:szCs w:val="16"/>
          <w:color w:val="auto"/>
        </w:rPr>
        <w:t>means the aggregate fees billed for professional services rendered by our principal auditors for the assurance and related services, which were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included under Audit fees above.</w:t>
      </w:r>
    </w:p>
    <w:p>
      <w:pPr>
        <w:ind w:left="380" w:hanging="372"/>
        <w:spacing w:after="0"/>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Tax fees </w:t>
      </w:r>
      <w:r>
        <w:rPr>
          <w:rFonts w:ascii="Times New Roman" w:cs="Times New Roman" w:eastAsia="Times New Roman" w:hAnsi="Times New Roman"/>
          <w:sz w:val="16"/>
          <w:szCs w:val="16"/>
          <w:color w:val="auto"/>
        </w:rPr>
        <w:t>means the aggregate fees billed in each of the fiscal periods listed for professional services rendered by our principal auditors for tax compliance.</w:t>
      </w:r>
    </w:p>
    <w:p>
      <w:pPr>
        <w:spacing w:after="0" w:line="18" w:lineRule="exact"/>
        <w:rPr>
          <w:rFonts w:ascii="Times New Roman" w:cs="Times New Roman" w:eastAsia="Times New Roman" w:hAnsi="Times New Roman"/>
          <w:sz w:val="16"/>
          <w:szCs w:val="16"/>
          <w:color w:val="auto"/>
        </w:rPr>
      </w:pPr>
    </w:p>
    <w:p>
      <w:pPr>
        <w:ind w:left="380" w:right="300" w:hanging="372"/>
        <w:spacing w:after="0" w:line="288" w:lineRule="auto"/>
        <w:tabs>
          <w:tab w:leader="none" w:pos="3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All other fees </w:t>
      </w:r>
      <w:r>
        <w:rPr>
          <w:rFonts w:ascii="Times New Roman" w:cs="Times New Roman" w:eastAsia="Times New Roman" w:hAnsi="Times New Roman"/>
          <w:sz w:val="16"/>
          <w:szCs w:val="16"/>
          <w:color w:val="auto"/>
        </w:rPr>
        <w:t>means the aggregate fees billed for each of the fiscal years listed for products or professional services rendered by our independent registered public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accounting firm not included in Audit fees, Audit-related fees or Tax fees.</w:t>
      </w:r>
    </w:p>
    <w:p>
      <w:pPr>
        <w:spacing w:after="0" w:line="127"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audit-related and non-audit services provided by our independent registered public accounting firm to ensure that such services do not impair its independence.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December 31, 2025, neither the company nor any affiliated purchaser purchased any of the company’s equity securities.</w:t>
      </w:r>
    </w:p>
    <w:p>
      <w:pPr>
        <w:spacing w:after="0" w:line="198"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On February 26, 2026, our Board of Directors authorized a new share repurchase program. Under the terms of the program, the company may repurchase up to $300 million of its equity instruments over a two-year period, effective immediately. The repurchases will include ADSs acquired from the public market, as well as pro-rata purchases of ordinary shares from Kunlun, ensuring the public free float maintains its current percentage ownership. The program does not obligate the company to acquire any specific number of shares and may be modified or suspended at the discretion of the Board of Directors at any time.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As a Cayman Islands exempted company listed on the Nasdaq Global Select Market, we are subject to Nasdaq corporate governance listing standards. However, Rule 5615(a)(3) of the Nasdaq Stock Market Rules permits foreign private issuers like us to follow certain home country corporate governance practices in lieu of certain provisions of the Rule 5600 Series of the Nasdaq Stock Market Rules. A foreign private issuer that elects to follow a home country practice instead of such provisions, must disclose in its annual reports each requirement that it does not follow and describe the home country practice followed by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60" w:firstLine="374"/>
        <w:spacing w:after="0" w:line="282" w:lineRule="auto"/>
        <w:rPr>
          <w:sz w:val="20"/>
          <w:szCs w:val="20"/>
          <w:color w:val="auto"/>
        </w:rPr>
      </w:pPr>
      <w:r>
        <w:rPr>
          <w:rFonts w:ascii="Times New Roman" w:cs="Times New Roman" w:eastAsia="Times New Roman" w:hAnsi="Times New Roman"/>
          <w:sz w:val="18"/>
          <w:szCs w:val="18"/>
          <w:color w:val="auto"/>
        </w:rPr>
        <w:t>Our current corporate governance practices differ from Nasdaq corporate governance requirements for U.S. companies in certain respects, as summarized below:</w:t>
      </w:r>
    </w:p>
    <w:p>
      <w:pPr>
        <w:spacing w:after="0" w:line="135" w:lineRule="exact"/>
        <w:rPr>
          <w:sz w:val="20"/>
          <w:szCs w:val="20"/>
          <w:color w:val="auto"/>
        </w:rPr>
      </w:pPr>
    </w:p>
    <w:p>
      <w:pPr>
        <w:ind w:left="760" w:right="200" w:hanging="378"/>
        <w:spacing w:after="0" w:line="266"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5605(b)(1) of the Nasdaq Stock Market Rules requires a Nasdaq-listed company to have a majority of the board be independent. In this regard we have elected to adopt the practices of our home country, the Cayman Islands, which practices do not require a majority independent board; and</w:t>
      </w:r>
    </w:p>
    <w:p>
      <w:pPr>
        <w:spacing w:after="0" w:line="135"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5605(d)(2) of the Nasdaq Stock Market Rules requires a Nasdaq-listed company to have a compensation committee composed solely of independent directors to determine or recommend the compensation of the executive officers of the company. In this regard we have elected to adopt the practices of our home country, the Cayman Islands, which practices do not require that any of the members of a company’s compensation committee be independent directors.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relied on and intend to continue to rely on some of these exemptions.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89"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governing the purchase, sale, and other dispositions of our securities by officers, directors, employees and consultants of our group. Our insider trading policy is designated to promote compliance with applicable insider trading laws, rules and regulations. A copy of our insider trading policy was filed with the SEC on April 10, 2025 as Exhibit 11.2 to our annual report for the year ended December 31,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89"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Cyber-attacks are prevalent in the internet and technology sector in which we operate. Supervised by the audit committee, our experienced management team is responsible for identifying, assessing and mitigating cybersecurity risks. Our overall approach aims to address cybersecurity risks collaboratively and through a cross-function approach as part of our broader risk management process, with a particular focus on safeguarding the confidentiality of end-user information with which we have been entrusted. This involves identifying, preventing, and mitigating cybersecurity threats, as well as promptly and effectively responding to any cybersecurity incidents that may arise.</w:t>
      </w:r>
    </w:p>
    <w:p>
      <w:pPr>
        <w:spacing w:after="0" w:line="143"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We employ a variety of strategies and measures to identify, assess and mitigate cybersecurity risks. Cybersecurity is the shared responsibility of every staff member and supported by our Security team, Global IT and various product teams. Our Security team promulgates security and data protection standards in the form of our Security Policy and related standards, guidelines and other documents. Global IT maintains our network infrastructure, manages our hosting providers and supervises use of third-party information systems in accordance with our security requirements. Our product teams design and operate software applications in accordance with our standards, each maintaining a “security champion” as point of contact for security related topics. For example:</w:t>
      </w:r>
    </w:p>
    <w:p>
      <w:pPr>
        <w:spacing w:after="0" w:line="156" w:lineRule="exact"/>
        <w:rPr>
          <w:sz w:val="20"/>
          <w:szCs w:val="20"/>
          <w:color w:val="auto"/>
        </w:rPr>
      </w:pPr>
    </w:p>
    <w:p>
      <w:pPr>
        <w:ind w:left="760" w:right="120" w:hanging="378"/>
        <w:spacing w:after="0" w:line="262"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Development Practices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Security team promulgates a Product Security Standard and related guidelines under our Security Policy.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teams are expected to adhere to the standard by conducting the required security reviews by security champions, as well as automated scanning and product monitoring. The standard also provides instructions on secure development best practices and the implementation of security requirements in our software applications.</w:t>
      </w:r>
    </w:p>
    <w:p>
      <w:pPr>
        <w:spacing w:after="0" w:line="135" w:lineRule="exact"/>
        <w:rPr>
          <w:rFonts w:ascii="Times New Roman" w:cs="Times New Roman" w:eastAsia="Times New Roman" w:hAnsi="Times New Roman"/>
          <w:sz w:val="18"/>
          <w:szCs w:val="18"/>
          <w:color w:val="auto"/>
        </w:rPr>
      </w:pPr>
    </w:p>
    <w:p>
      <w:pPr>
        <w:ind w:left="760" w:right="20" w:hanging="378"/>
        <w:spacing w:after="0" w:line="262"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Infrastructure Security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Security team promulgates an Information Security Standard under our Security Policy. Global IT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stakeholders are expected to implement the standard’s requirements relating to network access controls, password and authentication, and endpoint security. The standard also generally requires that the third-party collocation centers we use have a valid ISO 27001 certificate and that our servers are placed in special access zones.</w:t>
      </w:r>
    </w:p>
    <w:p>
      <w:pPr>
        <w:spacing w:after="0" w:line="135" w:lineRule="exact"/>
        <w:rPr>
          <w:rFonts w:ascii="Times New Roman" w:cs="Times New Roman" w:eastAsia="Times New Roman" w:hAnsi="Times New Roman"/>
          <w:sz w:val="18"/>
          <w:szCs w:val="18"/>
          <w:color w:val="auto"/>
        </w:rPr>
      </w:pPr>
    </w:p>
    <w:p>
      <w:pPr>
        <w:ind w:left="760" w:right="60" w:hanging="378"/>
        <w:spacing w:after="0" w:line="286"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 Assessments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Security team’s security engineers conduct periodic reviews of significant new and changed infrastructure elements,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well as risk assessments of new third-party service providers.</w:t>
      </w:r>
    </w:p>
    <w:p>
      <w:pPr>
        <w:spacing w:after="0" w:line="127" w:lineRule="exact"/>
        <w:rPr>
          <w:rFonts w:ascii="Times New Roman" w:cs="Times New Roman" w:eastAsia="Times New Roman" w:hAnsi="Times New Roman"/>
          <w:sz w:val="18"/>
          <w:szCs w:val="18"/>
          <w:color w:val="auto"/>
        </w:rPr>
      </w:pPr>
    </w:p>
    <w:p>
      <w:pPr>
        <w:ind w:left="760" w:right="20" w:hanging="378"/>
        <w:spacing w:after="0" w:line="286"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Penetration Testing &amp; Bug Bounty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Security team conducts penetration testing of systems and leverages external resources by maintaining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active bug bounty program to encourage white hat hackers to identify and report to us security vulnerabilities in our systems.</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60" w:right="420" w:hanging="378"/>
        <w:spacing w:after="0" w:line="286"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Acceptable Use</w:t>
      </w:r>
      <w:r>
        <w:rPr>
          <w:rFonts w:ascii="Times New Roman" w:cs="Times New Roman" w:eastAsia="Times New Roman" w:hAnsi="Times New Roman"/>
          <w:sz w:val="18"/>
          <w:szCs w:val="18"/>
          <w:color w:val="auto"/>
        </w:rPr>
        <w:t>: To establish best practices in our organization and to address emerging threats, our Security team has also promulgated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use policy for staff members, as well as AI usage guidelines to govern the adoption of AI tools and services in our business.</w:t>
      </w:r>
    </w:p>
    <w:p>
      <w:pPr>
        <w:spacing w:after="0" w:line="127" w:lineRule="exact"/>
        <w:rPr>
          <w:rFonts w:ascii="Times New Roman" w:cs="Times New Roman" w:eastAsia="Times New Roman" w:hAnsi="Times New Roman"/>
          <w:sz w:val="18"/>
          <w:szCs w:val="18"/>
          <w:color w:val="auto"/>
        </w:rPr>
      </w:pPr>
    </w:p>
    <w:p>
      <w:pPr>
        <w:jc w:val="both"/>
        <w:ind w:left="760" w:right="520" w:hanging="378"/>
        <w:spacing w:after="0" w:line="268" w:lineRule="auto"/>
        <w:tabs>
          <w:tab w:leader="none" w:pos="7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 Trainin</w:t>
      </w: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Security team periodically provides security awareness training to our employees, educating them about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cybersecurity risks, phishing attacks, social engineering tactics, and safe online practices. Select staff and team members are also provided incident response training to educate them on the proper procedures for handling security incidents when they occur.</w:t>
      </w:r>
    </w:p>
    <w:p>
      <w:pPr>
        <w:spacing w:after="0" w:line="134"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Despite the measures we have taken to protect our systems, our systems have in some cases been breached in the past and we cannot guarantee that, despite our reasonable efforts, they will not be breached again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202"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Pursuant to its charter, our audit committee has been delegated responsibility for discussing risk assessment and risk management with our management, as well as the actions management has taken to limit, monitor or control risk exposures, including with respect to cybersecurity threats. Management presents risk management issues to the audit committee on a quarterly basis. The audit committee is responsible for ensuring that our management has processes in place designed to identify and evaluate cybersecurity risks to which the company is exposed and implement processes and programs to manage cybersecurity risks and mitigate cybersecurity incidents. Our Board of Directors also includes additional directors with extensive experience in the internet and technology sector. See “Item 6. Directors, Senior Management and Employees.” For example, Director James Jian Liu sits on our audit committee and has over 20 years of experience in internet and technologies companies and holds a bachelor’s degree in computer science from Shanghai Jiao Tong University. The work of the audit committee is reported to our board on a quarterly basis.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Role</w:t>
      </w:r>
    </w:p>
    <w:p>
      <w:pPr>
        <w:spacing w:after="0" w:line="189"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Management is responsible for identifying, considering and assessing material cybersecurity risks on an ongoing basis, establishing processes to ensure that such potential cybersecurity risk exposures are monitored, and putting in place appropriate mitigation measures. The Opera Risk Management Standard describes our approach to identifying, assessing, and mitigating risks in general, including cybersecurity risks in particular. Likewise, management is responsible for providing prompt and timely information to our audit committee regarding any cybersecurity incident that meets established reporting thresholds, as well as ongoing updates regarding any such incident when appropriate.</w:t>
      </w:r>
    </w:p>
    <w:p>
      <w:pPr>
        <w:spacing w:after="0" w:line="156"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Management is supported, in particular, by our Head of Security, Pawel Kurzelewski, who owns Opera’s security program, as well as our VP of Group IT, Mr. Krystian Zubel, who manages our systems administration department. Mr. Kurzelewski has over 20 years of security industry experience gained at Fortune 500 listed companies, as well as a master’s degree from Wroclaw University of Science and Technology complemented by professional certifications including Certified Information Security Manager (CISM), Certified Systems Security Professional (CISSP), or Certified Information Systems Auditor (CISA). Mr. Zubel has over 20 years of IT industry experience, as well as a master’s degree in computer science specializing in computer networks and systems from Wroclaw University of Science and Technology. Mr. Zubel has been managing Opera IT projects related to critical infrastructure at Opera for over a decade and reports directly to our CEO, Mr. Lin Song, who sits on our Board of Directors, has a bachelor’s degree in information systems from the University of International Business and Economics, and has worked for our group for over 23 years serving in various technical and leadership roles. Mr. Kurzelewski and Mr. Zubel work closely with other members of our management team on cybersecurity issues, including in particular our EVP of Browsers, Mr. Krystian Kolondra. Mr. Kolondra has worked at Opera for over 19 years and has a master’s degree in computer sciences from the University of Wroclaw.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Incidents</w:t>
      </w:r>
    </w:p>
    <w:p>
      <w:pPr>
        <w:spacing w:after="0" w:line="187"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Cybersecurity incidents, including those affecting our third-party service providers, as well as data breaches, are reported in our internal ticketing system and handled in accordance with our Incident Management Procedure. In accordance with the procedure, incidents must be promptly classified and mitigated by the incident owner based on severity. Relevant product and IT teams, together with the Security team, conduct a post-mortem analysis of all incidents to document mitigation, lessons learned, and future actions to prevent a recurrence. Incidents categorized as critical (including any personal data breach or incidents with potentially material effects) are reported within 12 hours of classification to our CEO, General Counsel and CFO for materiality assessment and, where appropriate, reporting to our audit committee.</w:t>
      </w:r>
    </w:p>
    <w:p>
      <w:pPr>
        <w:spacing w:after="0" w:line="160"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Over the past financial year, cybersecurity threats or incidents have not materially affected or are not reasonably likely to affect us, including our business strategy, financial condition or results of operations, but we cannot provide assurance that we will not be materially affected by any such risks, threats or incidents in the future.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of Opera Limited are included at the end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320" w:type="dxa"/>
            <w:vAlign w:val="bottom"/>
            <w:tcBorders>
              <w:bottom w:val="single" w:sz="8" w:color="auto"/>
            </w:tcBorders>
            <w:gridSpan w:val="29"/>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169"/>
        </w:trPr>
        <w:tc>
          <w:tcPr>
            <w:tcW w:w="8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4"/>
                <w:szCs w:val="14"/>
                <w:color w:val="auto"/>
              </w:rPr>
            </w:pPr>
          </w:p>
        </w:tc>
        <w:tc>
          <w:tcPr>
            <w:tcW w:w="10320" w:type="dxa"/>
            <w:vAlign w:val="bottom"/>
            <w:tcBorders>
              <w:bottom w:val="single" w:sz="8" w:color="0000EE"/>
            </w:tcBorders>
            <w:gridSpan w:val="29"/>
          </w:tcPr>
          <w:p>
            <w:pPr>
              <w:spacing w:after="0" w:line="169"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Second Amended and Restated Memorandum and Articles of Association of the Registrant, as currently in effect (incorporated by reference to</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254">
              <w:r>
                <w:rPr>
                  <w:rFonts w:ascii="Times New Roman" w:cs="Times New Roman" w:eastAsia="Times New Roman" w:hAnsi="Times New Roman"/>
                  <w:sz w:val="18"/>
                  <w:szCs w:val="18"/>
                  <w:color w:val="0000EE"/>
                </w:rPr>
                <w:t>Exhibit 3.2 from our registration statement on Amendment No. 1 to Form F-1 (File No. 333-226017) filed publicly with the SEC on July 13,</w:t>
              </w:r>
            </w:hyperlink>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54">
              <w:r>
                <w:rPr>
                  <w:rFonts w:ascii="Times New Roman" w:cs="Times New Roman" w:eastAsia="Times New Roman" w:hAnsi="Times New Roman"/>
                  <w:sz w:val="18"/>
                  <w:szCs w:val="18"/>
                  <w:color w:val="0000EE"/>
                  <w:w w:val="95"/>
                </w:rPr>
                <w:t>2018)</w:t>
              </w:r>
            </w:hyperlink>
          </w:p>
        </w:tc>
        <w:tc>
          <w:tcPr>
            <w:tcW w:w="2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1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Form of Registrant’s Specimen American Depositary Receipt (incorporated by reference from our Form 424B3 (File No. 333-226171) filed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publicly with the SEC on December 4, 2024)</w:t>
              </w:r>
            </w:hyperlink>
          </w:p>
        </w:tc>
        <w:tc>
          <w:tcPr>
            <w:tcW w:w="20" w:type="dxa"/>
            <w:vAlign w:val="bottom"/>
            <w:tcBorders>
              <w:bottom w:val="single" w:sz="8" w:color="0000EE"/>
            </w:tcBorders>
          </w:tcPr>
          <w:p>
            <w:pPr>
              <w:spacing w:after="0"/>
              <w:rPr>
                <w:sz w:val="17"/>
                <w:szCs w:val="17"/>
                <w:color w:val="auto"/>
              </w:rPr>
            </w:pPr>
          </w:p>
        </w:tc>
        <w:tc>
          <w:tcPr>
            <w:tcW w:w="70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01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256">
              <w:r>
                <w:rPr>
                  <w:rFonts w:ascii="Times New Roman" w:cs="Times New Roman" w:eastAsia="Times New Roman" w:hAnsi="Times New Roman"/>
                  <w:sz w:val="18"/>
                  <w:szCs w:val="18"/>
                  <w:color w:val="0000EE"/>
                </w:rPr>
                <w:t>Registrant’s Specimen Certificate for Ordinary Shares (incorporated by reference to Exhibit 4.2 from our registration statement on Form F-1</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56">
              <w:r>
                <w:rPr>
                  <w:rFonts w:ascii="Times New Roman" w:cs="Times New Roman" w:eastAsia="Times New Roman" w:hAnsi="Times New Roman"/>
                  <w:sz w:val="18"/>
                  <w:szCs w:val="18"/>
                  <w:color w:val="0000EE"/>
                  <w:w w:val="99"/>
                </w:rPr>
                <w:t>(File No. 333-226017) filed publicly with the SEC on June 29, 2018)</w:t>
              </w:r>
            </w:hyperlink>
          </w:p>
        </w:tc>
        <w:tc>
          <w:tcPr>
            <w:tcW w:w="53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01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57">
              <w:r>
                <w:rPr>
                  <w:rFonts w:ascii="Times New Roman" w:cs="Times New Roman" w:eastAsia="Times New Roman" w:hAnsi="Times New Roman"/>
                  <w:sz w:val="18"/>
                  <w:szCs w:val="18"/>
                  <w:color w:val="0000EE"/>
                </w:rPr>
                <w:t>Form of Deposit Agreement among the registrant, the depositary and owners and holders of the ADSs (incorporated by reference to Exhibit</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257">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from our registration statement on Amendment No. 2 to Form F-1 (File No. 333-226017) filed publicly with the SEC on July 23, 2018)</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03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Description of the Rights of Securities Registered under Section 12 of the Securities Act (incorporated herein by reference to Exhibit 2.4 to the</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258">
              <w:r>
                <w:rPr>
                  <w:rFonts w:ascii="Times New Roman" w:cs="Times New Roman" w:eastAsia="Times New Roman" w:hAnsi="Times New Roman"/>
                  <w:sz w:val="18"/>
                  <w:szCs w:val="18"/>
                  <w:color w:val="0000EE"/>
                </w:rPr>
                <w:t>Company’s annual report on Form 20-F (File No. 001-38588) filed publicly with the SEC on June 11, 2021, and as amended on June 28,</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258">
              <w:r>
                <w:rPr>
                  <w:rFonts w:ascii="Times New Roman" w:cs="Times New Roman" w:eastAsia="Times New Roman" w:hAnsi="Times New Roman"/>
                  <w:sz w:val="18"/>
                  <w:szCs w:val="18"/>
                  <w:color w:val="0000EE"/>
                  <w:w w:val="95"/>
                </w:rPr>
                <w:t>2021)</w:t>
              </w:r>
            </w:hyperlink>
          </w:p>
        </w:tc>
        <w:tc>
          <w:tcPr>
            <w:tcW w:w="2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1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Second Amended and Restated Share Incentive Plan (incorporated by reference to Exhibit 10.1 to the Form S-8 POS (File No. 333-229285)</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filed with the SEC on December 11, 2025)</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3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260">
              <w:r>
                <w:rPr>
                  <w:rFonts w:ascii="Times New Roman" w:cs="Times New Roman" w:eastAsia="Times New Roman" w:hAnsi="Times New Roman"/>
                  <w:sz w:val="18"/>
                  <w:szCs w:val="18"/>
                  <w:color w:val="0000EE"/>
                </w:rPr>
                <w:t>Form of Indemnification Agreement between the Registrant and each of the directors and executive officers of the Registrant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260">
              <w:r>
                <w:rPr>
                  <w:rFonts w:ascii="Times New Roman" w:cs="Times New Roman" w:eastAsia="Times New Roman" w:hAnsi="Times New Roman"/>
                  <w:sz w:val="18"/>
                  <w:szCs w:val="18"/>
                  <w:color w:val="0000EE"/>
                  <w:w w:val="99"/>
                </w:rPr>
                <w:t>reference to Exhibit 10.2 from our registration statement on Form F-1 (File No. 333-226017) filed publicly with the SEC on June 29, 2018)</w:t>
              </w:r>
            </w:hyperlink>
          </w:p>
        </w:tc>
        <w:tc>
          <w:tcPr>
            <w:tcW w:w="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00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Form of Employment Agreement between the Registrant and each executive officer of the Registrant (incorporated by reference to Exhibit</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26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from our registration statement on Amendment No. 1 to Form F-1 (File No. 333-226017) filed publicly with the SEC on July 13, 2018)</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101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color w:val="0000EE"/>
                </w:rPr>
                <w:t>Form of Registration Rights Agreement (incorporated by reference to Exhibit 10.11 from our registration statement on Amendment No. 1 to</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62">
              <w:r>
                <w:rPr>
                  <w:rFonts w:ascii="Times New Roman" w:cs="Times New Roman" w:eastAsia="Times New Roman" w:hAnsi="Times New Roman"/>
                  <w:sz w:val="18"/>
                  <w:szCs w:val="18"/>
                  <w:color w:val="0000EE"/>
                  <w:w w:val="99"/>
                </w:rPr>
                <w:t>Form F-1 (File No. 333-226017) filed publicly with the SEC on July 13, 2018)</w:t>
              </w:r>
            </w:hyperlink>
          </w:p>
        </w:tc>
        <w:tc>
          <w:tcPr>
            <w:tcW w:w="46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Amendment and Restatement Agreement to the Google Distribution Agreement, dated as of December 15, 2021, by and between Opera</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Norway AS (formerly known as Opera Software AS) and Google Ireland Limited (certain provisions of this exhibit have been omitted</w:t>
              </w:r>
            </w:hyperlink>
          </w:p>
        </w:tc>
        <w:tc>
          <w:tcPr>
            <w:tcW w:w="6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pursuant to Instruction No. 4 to Exhibits in Form 20-F) (incorporated herein by reference to Exhibit 4.4 to the Company’s annual report on</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EE"/>
              </w:rPr>
            </w:pPr>
            <w:hyperlink r:id="rId263">
              <w:r>
                <w:rPr>
                  <w:rFonts w:ascii="Times New Roman" w:cs="Times New Roman" w:eastAsia="Times New Roman" w:hAnsi="Times New Roman"/>
                  <w:sz w:val="18"/>
                  <w:szCs w:val="18"/>
                  <w:color w:val="0000EE"/>
                </w:rPr>
                <w:t>Form 20-F (File No. 001-38588) filed publicly with the SEC on April 26, 2022 and as amended on June 28, 2022)</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4.6</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 w:lineRule="exact"/>
              <w:rPr>
                <w:sz w:val="1"/>
                <w:szCs w:val="1"/>
                <w:color w:val="auto"/>
              </w:rPr>
            </w:pPr>
          </w:p>
        </w:tc>
        <w:tc>
          <w:tcPr>
            <w:tcW w:w="2740" w:type="dxa"/>
            <w:vAlign w:val="bottom"/>
            <w:tcBorders>
              <w:right w:val="single" w:sz="8" w:color="0000EE"/>
            </w:tcBorders>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Stock Purchase Agreement, dated March 24, 2026, by and between Opera Limited and Hong Kong Kunlun Tech Holding Ltd.</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8.1</w:t>
            </w:r>
            <w:r>
              <w:rPr>
                <w:rFonts w:ascii="Times New Roman" w:cs="Times New Roman" w:eastAsia="Times New Roman" w:hAnsi="Times New Roman"/>
                <w:sz w:val="24"/>
                <w:szCs w:val="24"/>
                <w:color w:val="auto"/>
                <w:vertAlign w:val="superscript"/>
              </w:rPr>
              <w:t>*</w:t>
            </w:r>
          </w:p>
        </w:tc>
        <w:tc>
          <w:tcPr>
            <w:tcW w:w="100" w:type="dxa"/>
            <w:vAlign w:val="bottom"/>
          </w:tcPr>
          <w:p>
            <w:pPr>
              <w:spacing w:after="0"/>
              <w:rPr>
                <w:sz w:val="24"/>
                <w:szCs w:val="24"/>
                <w:color w:val="auto"/>
              </w:rPr>
            </w:pPr>
          </w:p>
        </w:tc>
        <w:tc>
          <w:tcPr>
            <w:tcW w:w="91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List of Significant Subsidiaries of the Registrant</w:t>
            </w:r>
          </w:p>
        </w:tc>
        <w:tc>
          <w:tcPr>
            <w:tcW w:w="12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EE"/>
            </w:tcBorders>
            <w:gridSpan w:val="4"/>
            <w:shd w:val="clear" w:color="auto" w:fill="0000FF"/>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4"/>
                <w:szCs w:val="24"/>
                <w:color w:val="auto"/>
              </w:rPr>
            </w:pPr>
          </w:p>
        </w:tc>
        <w:tc>
          <w:tcPr>
            <w:tcW w:w="101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Code of Business Conduct and Ethics of the Registrant (incorporated herein by reference to Exhibit 11.1 to the Company’s annual report on</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Form 20-F (File No. 001-38588) for the year ended December 31, 2023, filed with the SEC on April 24, 2024)</w:t>
              </w:r>
            </w:hyperlink>
          </w:p>
        </w:tc>
        <w:tc>
          <w:tcPr>
            <w:tcW w:w="20" w:type="dxa"/>
            <w:vAlign w:val="bottom"/>
            <w:tcBorders>
              <w:bottom w:val="single" w:sz="8" w:color="0000EE"/>
            </w:tcBorders>
          </w:tcPr>
          <w:p>
            <w:pPr>
              <w:spacing w:after="0"/>
              <w:rPr>
                <w:sz w:val="17"/>
                <w:szCs w:val="17"/>
                <w:color w:val="auto"/>
              </w:rPr>
            </w:pPr>
          </w:p>
        </w:tc>
        <w:tc>
          <w:tcPr>
            <w:tcW w:w="23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4"/>
                <w:szCs w:val="24"/>
                <w:color w:val="auto"/>
              </w:rPr>
            </w:pPr>
          </w:p>
        </w:tc>
        <w:tc>
          <w:tcPr>
            <w:tcW w:w="9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Statement of Policies Governing Material, Non-Public Information and the Prevention of Insider Trading of the Registrant (incorporated</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herein by reference to Exhibit 11.2 to the Company’s annual report on Form 20-F (File No. 001-38588) for the year ended December 31, 2024,</w:t>
              </w:r>
            </w:hyperlink>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20" w:type="dxa"/>
            <w:vAlign w:val="bottom"/>
            <w:gridSpan w:val="29"/>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filed with the SEC on April 10, 2025)</w:t>
              </w:r>
            </w:hyperlink>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24"/>
                <w:szCs w:val="24"/>
                <w:color w:val="auto"/>
                <w:vertAlign w:val="superscript"/>
              </w:rPr>
              <w:t>*</w:t>
            </w:r>
          </w:p>
        </w:tc>
        <w:tc>
          <w:tcPr>
            <w:tcW w:w="100" w:type="dxa"/>
            <w:vAlign w:val="bottom"/>
          </w:tcPr>
          <w:p>
            <w:pPr>
              <w:spacing w:after="0" w:line="20" w:lineRule="exact"/>
              <w:rPr>
                <w:sz w:val="1"/>
                <w:szCs w:val="1"/>
                <w:color w:val="auto"/>
              </w:rPr>
            </w:pPr>
          </w:p>
        </w:tc>
        <w:tc>
          <w:tcPr>
            <w:tcW w:w="2740" w:type="dxa"/>
            <w:vAlign w:val="bottom"/>
            <w:tcBorders>
              <w:right w:val="single" w:sz="8" w:color="0000EE"/>
            </w:tcBorders>
            <w:gridSpan w:val="2"/>
            <w:shd w:val="clear" w:color="auto" w:fill="0000FF"/>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Section 302 of the Sarbanes-Oxley Act of 2002</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24"/>
                <w:szCs w:val="24"/>
                <w:color w:val="auto"/>
                <w:vertAlign w:val="superscript"/>
              </w:rPr>
              <w:t>*</w:t>
            </w:r>
          </w:p>
        </w:tc>
        <w:tc>
          <w:tcPr>
            <w:tcW w:w="100" w:type="dxa"/>
            <w:vAlign w:val="bottom"/>
          </w:tcPr>
          <w:p>
            <w:pPr>
              <w:spacing w:after="0"/>
              <w:rPr>
                <w:sz w:val="24"/>
                <w:szCs w:val="24"/>
                <w:color w:val="auto"/>
              </w:rPr>
            </w:pPr>
          </w:p>
        </w:tc>
        <w:tc>
          <w:tcPr>
            <w:tcW w:w="74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Section 302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13.1</w:t>
            </w:r>
            <w:r>
              <w:rPr>
                <w:rFonts w:ascii="Times New Roman" w:cs="Times New Roman" w:eastAsia="Times New Roman" w:hAnsi="Times New Roman"/>
                <w:sz w:val="24"/>
                <w:szCs w:val="24"/>
                <w:color w:val="auto"/>
                <w:vertAlign w:val="superscript"/>
              </w:rPr>
              <w:t>**</w:t>
            </w:r>
          </w:p>
        </w:tc>
        <w:tc>
          <w:tcPr>
            <w:tcW w:w="100" w:type="dxa"/>
            <w:vAlign w:val="bottom"/>
          </w:tcPr>
          <w:p>
            <w:pPr>
              <w:spacing w:after="0"/>
              <w:rPr>
                <w:sz w:val="24"/>
                <w:szCs w:val="24"/>
                <w:color w:val="auto"/>
              </w:rPr>
            </w:pPr>
          </w:p>
        </w:tc>
        <w:tc>
          <w:tcPr>
            <w:tcW w:w="103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Section 906 of the Sarbanes-Oxley Act of 2002</w:t>
            </w:r>
          </w:p>
        </w:tc>
        <w:tc>
          <w:tcPr>
            <w:tcW w:w="0" w:type="dxa"/>
            <w:vAlign w:val="bottom"/>
          </w:tcPr>
          <w:p>
            <w:pPr>
              <w:spacing w:after="0"/>
              <w:rPr>
                <w:sz w:val="1"/>
                <w:szCs w:val="1"/>
                <w:color w:val="auto"/>
              </w:rPr>
            </w:pPr>
          </w:p>
        </w:tc>
      </w:tr>
      <w:tr>
        <w:trPr>
          <w:trHeight w:val="412"/>
        </w:trPr>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tcBorders>
              <w:top w:val="single" w:sz="8" w:color="0000FF"/>
            </w:tcBorders>
            <w:gridSpan w:val="7"/>
          </w:tcPr>
          <w:p>
            <w:pPr>
              <w:ind w:left="4620"/>
              <w:spacing w:after="0"/>
              <w:rPr>
                <w:sz w:val="20"/>
                <w:szCs w:val="20"/>
                <w:color w:val="auto"/>
              </w:rPr>
            </w:pPr>
            <w:r>
              <w:rPr>
                <w:rFonts w:ascii="Times New Roman" w:cs="Times New Roman" w:eastAsia="Times New Roman" w:hAnsi="Times New Roman"/>
                <w:sz w:val="18"/>
                <w:szCs w:val="18"/>
                <w:color w:val="auto"/>
              </w:rPr>
              <w:t>66</w:t>
            </w:r>
          </w:p>
        </w:tc>
        <w:tc>
          <w:tcPr>
            <w:tcW w:w="700" w:type="dxa"/>
            <w:vAlign w:val="bottom"/>
            <w:tcBorders>
              <w:top w:val="single" w:sz="8" w:color="0000FF"/>
            </w:tcBorders>
          </w:tcPr>
          <w:p>
            <w:pPr>
              <w:spacing w:after="0"/>
              <w:rPr>
                <w:sz w:val="24"/>
                <w:szCs w:val="24"/>
                <w:color w:val="auto"/>
              </w:rPr>
            </w:pPr>
          </w:p>
        </w:tc>
        <w:tc>
          <w:tcPr>
            <w:tcW w:w="1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3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7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13.2</w:t>
            </w:r>
            <w:r>
              <w:rPr>
                <w:rFonts w:ascii="Times New Roman" w:cs="Times New Roman" w:eastAsia="Times New Roman" w:hAnsi="Times New Roman"/>
                <w:sz w:val="24"/>
                <w:szCs w:val="24"/>
                <w:color w:val="auto"/>
                <w:vertAlign w:val="superscript"/>
              </w:rPr>
              <w:t>**</w:t>
            </w:r>
          </w:p>
        </w:tc>
        <w:tc>
          <w:tcPr>
            <w:tcW w:w="100" w:type="dxa"/>
            <w:vAlign w:val="bottom"/>
          </w:tcPr>
          <w:p>
            <w:pPr>
              <w:spacing w:after="0"/>
              <w:rPr>
                <w:sz w:val="24"/>
                <w:szCs w:val="24"/>
                <w:color w:val="auto"/>
              </w:rPr>
            </w:pPr>
          </w:p>
        </w:tc>
        <w:tc>
          <w:tcPr>
            <w:tcW w:w="7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Section 906 of the Sarbanes-Oxley Act of 2002</w:t>
            </w:r>
          </w:p>
        </w:tc>
        <w:tc>
          <w:tcPr>
            <w:tcW w:w="2880" w:type="dxa"/>
            <w:vAlign w:val="bottom"/>
            <w:gridSpan w:val="2"/>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15.1</w:t>
            </w:r>
            <w:r>
              <w:rPr>
                <w:rFonts w:ascii="Times New Roman" w:cs="Times New Roman" w:eastAsia="Times New Roman" w:hAnsi="Times New Roman"/>
                <w:sz w:val="24"/>
                <w:szCs w:val="24"/>
                <w:color w:val="auto"/>
                <w:vertAlign w:val="superscript"/>
              </w:rPr>
              <w:t>*</w:t>
            </w:r>
          </w:p>
        </w:tc>
        <w:tc>
          <w:tcPr>
            <w:tcW w:w="100" w:type="dxa"/>
            <w:vAlign w:val="bottom"/>
          </w:tcPr>
          <w:p>
            <w:pPr>
              <w:spacing w:after="0"/>
              <w:rPr>
                <w:sz w:val="24"/>
                <w:szCs w:val="24"/>
                <w:color w:val="auto"/>
              </w:rPr>
            </w:pPr>
          </w:p>
        </w:tc>
        <w:tc>
          <w:tcPr>
            <w:tcW w:w="1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Consent of KPMG AS</w:t>
            </w:r>
          </w:p>
        </w:tc>
        <w:tc>
          <w:tcPr>
            <w:tcW w:w="20" w:type="dxa"/>
            <w:vAlign w:val="bottom"/>
            <w:tcBorders>
              <w:bottom w:val="single" w:sz="8" w:color="0000EE"/>
            </w:tcBorders>
          </w:tcPr>
          <w:p>
            <w:pPr>
              <w:spacing w:after="0"/>
              <w:rPr>
                <w:sz w:val="24"/>
                <w:szCs w:val="24"/>
                <w:color w:val="auto"/>
              </w:rPr>
            </w:pPr>
          </w:p>
        </w:tc>
        <w:tc>
          <w:tcPr>
            <w:tcW w:w="8660" w:type="dxa"/>
            <w:vAlign w:val="bottom"/>
            <w:gridSpan w:val="4"/>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103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Clawback Policy (incorporated herein by reference to Exhibit 97.1 to the Company’s annual report on Form 20-F (File No. 001-38588) for the</w:t>
              </w:r>
            </w:hyperlink>
          </w:p>
        </w:tc>
        <w:tc>
          <w:tcPr>
            <w:tcW w:w="2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69">
              <w:r>
                <w:rPr>
                  <w:rFonts w:ascii="Times New Roman" w:cs="Times New Roman" w:eastAsia="Times New Roman" w:hAnsi="Times New Roman"/>
                  <w:sz w:val="18"/>
                  <w:szCs w:val="18"/>
                  <w:color w:val="0000FF"/>
                  <w:w w:val="99"/>
                </w:rPr>
                <w:t>year ended December 31, 2023, filed with the SEC on April 24, 2024)</w:t>
              </w:r>
            </w:hyperlink>
          </w:p>
        </w:tc>
        <w:tc>
          <w:tcPr>
            <w:tcW w:w="5260" w:type="dxa"/>
            <w:vAlign w:val="bottom"/>
            <w:gridSpan w:val="3"/>
          </w:tcPr>
          <w:p>
            <w:pPr>
              <w:spacing w:after="0"/>
              <w:rPr>
                <w:sz w:val="17"/>
                <w:szCs w:val="17"/>
                <w:color w:val="auto"/>
              </w:rPr>
            </w:pPr>
          </w:p>
        </w:tc>
      </w:tr>
      <w:tr>
        <w:trPr>
          <w:trHeight w:val="34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90" w:lineRule="exact"/>
        <w:rPr>
          <w:sz w:val="20"/>
          <w:szCs w:val="20"/>
          <w:color w:val="auto"/>
        </w:rPr>
      </w:pPr>
    </w:p>
    <w:p>
      <w:pPr>
        <w:ind w:left="920" w:hanging="912"/>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6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w:t>
      </w:r>
    </w:p>
    <w:p>
      <w:pPr>
        <w:spacing w:after="0" w:line="68"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with this annual report on Form 20-F.</w:t>
      </w:r>
    </w:p>
    <w:p>
      <w:pPr>
        <w:spacing w:after="0" w:line="2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tab/>
        <w:t>Furnished with this annual report on Form 20-F.</w:t>
      </w:r>
    </w:p>
    <w:p>
      <w:pPr>
        <w:spacing w:after="0" w:line="19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2026</w:t>
            </w:r>
          </w:p>
        </w:tc>
        <w:tc>
          <w:tcPr>
            <w:tcW w:w="28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3560" w:type="dxa"/>
            <w:vAlign w:val="bottom"/>
          </w:tcPr>
          <w:p>
            <w:pPr>
              <w:spacing w:after="0"/>
              <w:rPr>
                <w:sz w:val="16"/>
                <w:szCs w:val="16"/>
                <w:color w:val="auto"/>
              </w:rPr>
            </w:pPr>
          </w:p>
        </w:tc>
        <w:tc>
          <w:tcPr>
            <w:tcW w:w="280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r>
      <w:tr>
        <w:trPr>
          <w:trHeight w:val="234"/>
        </w:trPr>
        <w:tc>
          <w:tcPr>
            <w:tcW w:w="3560" w:type="dxa"/>
            <w:vAlign w:val="bottom"/>
          </w:tcPr>
          <w:p>
            <w:pPr>
              <w:spacing w:after="0"/>
              <w:rPr>
                <w:sz w:val="20"/>
                <w:szCs w:val="20"/>
                <w:color w:val="auto"/>
              </w:rPr>
            </w:pPr>
          </w:p>
        </w:tc>
        <w:tc>
          <w:tcPr>
            <w:tcW w:w="28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08"/>
        </w:trPr>
        <w:tc>
          <w:tcPr>
            <w:tcW w:w="3560" w:type="dxa"/>
            <w:vAlign w:val="bottom"/>
          </w:tcPr>
          <w:p>
            <w:pPr>
              <w:spacing w:after="0"/>
              <w:rPr>
                <w:sz w:val="24"/>
                <w:szCs w:val="24"/>
                <w:color w:val="auto"/>
              </w:rPr>
            </w:pPr>
          </w:p>
        </w:tc>
        <w:tc>
          <w:tcPr>
            <w:tcW w:w="28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67</w:t>
            </w:r>
          </w:p>
        </w:tc>
        <w:tc>
          <w:tcPr>
            <w:tcW w:w="4880" w:type="dxa"/>
            <w:vAlign w:val="bottom"/>
          </w:tcPr>
          <w:p>
            <w:pPr>
              <w:spacing w:after="0"/>
              <w:rPr>
                <w:sz w:val="24"/>
                <w:szCs w:val="24"/>
                <w:color w:val="auto"/>
              </w:rPr>
            </w:pPr>
          </w:p>
        </w:tc>
      </w:tr>
      <w:tr>
        <w:trPr>
          <w:trHeight w:val="506"/>
        </w:trPr>
        <w:tc>
          <w:tcPr>
            <w:tcW w:w="35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10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3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160" w:type="dxa"/>
            <w:vAlign w:val="bottom"/>
            <w:gridSpan w:val="12"/>
          </w:tcPr>
          <w:p>
            <w:pPr>
              <w:ind w:lef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4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AS, Oslo, Norway, PCAOB ID 1363)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26"/>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Operations</w:t>
            </w:r>
          </w:p>
        </w:tc>
        <w:tc>
          <w:tcPr>
            <w:tcW w:w="20" w:type="dxa"/>
            <w:vAlign w:val="bottom"/>
            <w:tcBorders>
              <w:top w:val="single" w:sz="8" w:color="0000FF"/>
              <w:bottom w:val="single" w:sz="8" w:color="0000EE"/>
            </w:tcBorders>
          </w:tcPr>
          <w:p>
            <w:pPr>
              <w:spacing w:after="0"/>
              <w:rPr>
                <w:sz w:val="17"/>
                <w:szCs w:val="17"/>
                <w:color w:val="auto"/>
              </w:rPr>
            </w:pPr>
          </w:p>
        </w:tc>
        <w:tc>
          <w:tcPr>
            <w:tcW w:w="1440" w:type="dxa"/>
            <w:vAlign w:val="bottom"/>
            <w:tcBorders>
              <w:top w:val="single" w:sz="8" w:color="0000FF"/>
            </w:tcBorders>
            <w:gridSpan w:val="12"/>
          </w:tcPr>
          <w:p>
            <w:pPr>
              <w:spacing w:after="0"/>
              <w:rPr>
                <w:sz w:val="17"/>
                <w:szCs w:val="17"/>
                <w:color w:val="auto"/>
              </w:rPr>
            </w:pPr>
          </w:p>
        </w:tc>
        <w:tc>
          <w:tcPr>
            <w:tcW w:w="624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36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Comprehensive Income</w:t>
            </w:r>
          </w:p>
        </w:tc>
        <w:tc>
          <w:tcPr>
            <w:tcW w:w="678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4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Financial Position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 of Changes in Equity</w:t>
            </w:r>
          </w:p>
        </w:tc>
        <w:tc>
          <w:tcPr>
            <w:tcW w:w="7160" w:type="dxa"/>
            <w:vAlign w:val="bottom"/>
            <w:gridSpan w:val="1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104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 — Corporate Information and Group Structure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2 — Accounting Policies, Judgments, and Estimation Uncertainty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3 — Revenue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4 — Personnel Expenses, Including Share-based Compensation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F-13</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5 — Other Operating Expenses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F-16</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6 — Finance Income and Finance Expenses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F-17</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7 — Income Taxes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F-17</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8 — Earnings Per Share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F-19</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9 — Property and Equipment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F-20</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10 — Goodwill and Intangible Assets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6"/>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11 — Investments in Unconsolidated Entities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12 — Trade and Other Receivables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13 — Leases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14 — Trade and Other Payables, and Other Current Liabilities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40" w:type="dxa"/>
            <w:vAlign w:val="bottom"/>
            <w:gridSpan w:val="9"/>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15 — Financial Assets and Financial Liabilities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F-30</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40" w:type="dxa"/>
            <w:vAlign w:val="bottom"/>
            <w:gridSpan w:val="9"/>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16 — Capital Management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FF"/>
            </w:tcBorders>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940" w:type="dxa"/>
            <w:vAlign w:val="bottom"/>
            <w:gridSpan w:val="9"/>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17 — Related Parties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F-34</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Note 18 — Events After the Reporting Period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959"/>
        </w:trPr>
        <w:tc>
          <w:tcPr>
            <w:tcW w:w="360" w:type="dxa"/>
            <w:vAlign w:val="bottom"/>
            <w:tcBorders>
              <w:bottom w:val="single" w:sz="8" w:color="9A9A9A"/>
            </w:tcBorders>
          </w:tcPr>
          <w:p>
            <w:pPr>
              <w:spacing w:after="0"/>
              <w:rPr>
                <w:sz w:val="24"/>
                <w:szCs w:val="24"/>
                <w:color w:val="auto"/>
              </w:rPr>
            </w:pPr>
          </w:p>
        </w:tc>
        <w:tc>
          <w:tcPr>
            <w:tcW w:w="9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Opera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189"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Opera Limited and subsidiaries (the Company) as of December 31, 2025 and 2024, the related consolidated statements of operations, comprehensive income,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IFRS Accounting Standards as issued by the International Accounting Standards Board (IASB).</w:t>
      </w:r>
    </w:p>
    <w:p>
      <w:pPr>
        <w:spacing w:after="0" w:line="160"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March 27, 2026 expressed an unqualified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on the effectiveness of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189" w:lineRule="exact"/>
        <w:rPr>
          <w:sz w:val="20"/>
          <w:szCs w:val="20"/>
          <w:color w:val="auto"/>
        </w:rPr>
      </w:pPr>
    </w:p>
    <w:p>
      <w:pPr>
        <w:ind w:right="160" w:firstLine="374"/>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they relate.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the Investment in OPay</w:t>
      </w:r>
    </w:p>
    <w:p>
      <w:pPr>
        <w:spacing w:after="0" w:line="187"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As discussed in Note 11 to the consolidated financial statements, the Company’s investment in OPay Limited (OPay) shares was valued at $294.6 million at December 31, 2025. The Company holds both ordinary and preferred shares in OPay, and the fair values of these shares were estimated using a probability-weighted expected return model (PWERM). In this model, the fair values of the shares were estimated based on the probability-weighted present value of expected future investment returns under various outcomes for OPay. The probability-weighted future investment returns were discounted using an estimated cost of equity (discount rate). Because OPay is a private company, a discount for lack of marketability (DLOM) was applied. In addition, the probability-weighted present value of expected future investment returns in the PWERM valuation was reconciled to an estimate of the overall equity value of OPay based on a discounted cash flow analysis (DCF).</w:t>
      </w:r>
    </w:p>
    <w:p>
      <w:pPr>
        <w:spacing w:after="0" w:line="148"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We identified the valuation of the investment in OPay as a critical audit matter. Significant auditor judgment was required to evaluate certain assumptions used in the PWERM valuation, including the future equity value, timing, and probability of each of the future outcomes, the discount rate applied in the model, and the DLOM. In addition, significant auditor judgment was required to evaluate certain assumptions used in the DCF, specifically the projected revenue growth rate, the long-term growth rate, and the discount rate. The audit effort associated with the valuation also required specialized skills and knowledge.</w:t>
      </w:r>
    </w:p>
    <w:p>
      <w:pPr>
        <w:spacing w:after="0" w:line="156"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performed sensitivity analyses over the assumptions used to determine the fair value of the investment to determine the impact of changes in those assumptions 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fair value. We evaluated the reasonableness of the future equity value, timing, and probability of each of the future outcomes via comparison with OPay’s objectives and strategies, memorandum and articles of association, the shareholders’ agreement, and relevant industry, regulatory, and economic factors. In addition, we evaluated the PWERM valuation by comparing it to the value derived from management’s DCF. We evaluated the reasonableness of the Company’s projected revenue growth rate in the DCF by comparing it to publicly available industry reports and market data. We also compared the Company’s historical revenue forecasts to actual results to assess the Company’s ability to accurately forecast.</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involved valuation professionals with specialized skills and knowledge, who assisted in:</w:t>
      </w:r>
    </w:p>
    <w:p>
      <w:pPr>
        <w:spacing w:after="0" w:line="185" w:lineRule="exact"/>
        <w:rPr>
          <w:sz w:val="20"/>
          <w:szCs w:val="20"/>
          <w:color w:val="auto"/>
        </w:rPr>
      </w:pPr>
    </w:p>
    <w:p>
      <w:pPr>
        <w:ind w:left="76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DLOM by comparing the Company’s assumption to publicly available restricted stock studies and pre-IPO studies;</w:t>
      </w:r>
    </w:p>
    <w:p>
      <w:pPr>
        <w:spacing w:after="0" w:line="121"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range for the discount rates using publicly available market data and comparing it to the Company’s assumptions used in the PWERM valuation and DCF; and</w:t>
      </w:r>
    </w:p>
    <w:p>
      <w:pPr>
        <w:spacing w:after="0" w:line="134"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range for the long-term growth rate based on Valuation Services Technical Committee (“VSTC”) guidelines and an H-model and comparing it to the Company’s assumption.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and its predecessor's auditor since 2000.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Oslo, Norway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56"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20" w:type="dxa"/>
            <w:vAlign w:val="bottom"/>
          </w:tcPr>
          <w:p>
            <w:pPr>
              <w:spacing w:after="0"/>
              <w:rPr>
                <w:sz w:val="17"/>
                <w:szCs w:val="17"/>
                <w:color w:val="auto"/>
              </w:rPr>
            </w:pP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614,825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platform fees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(10,010)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(9,312)</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Content cost</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(4,297)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(3,891)</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(6,066)</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inventory sold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(118,658)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(205,127)</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 expenses excluding share-based compensation</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(65,801)</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(69,940)</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(78,994)</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(9,718)</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(31,273)</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Marketing and distribution expenses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(109,947)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(131,951)</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(142,218)</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expense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9, 10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(13,165)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(15,582)</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(18,861)</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(1,946)</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(30,842)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(31,674)</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(31,291)</w:t>
            </w:r>
          </w:p>
        </w:tc>
      </w:tr>
      <w:tr>
        <w:trPr>
          <w:trHeight w:val="20"/>
        </w:trPr>
        <w:tc>
          <w:tcPr>
            <w:tcW w:w="58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(334,603)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(390,753)</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(524,375)</w:t>
            </w:r>
          </w:p>
        </w:tc>
      </w:tr>
      <w:tr>
        <w:trPr>
          <w:trHeight w:val="209"/>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62,890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92,262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Share of net income (loss) of equity-accounted investees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income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expense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(1,839)</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(4,108)</w:t>
            </w:r>
          </w:p>
        </w:tc>
      </w:tr>
      <w:tr>
        <w:trPr>
          <w:trHeight w:val="20"/>
        </w:trPr>
        <w:tc>
          <w:tcPr>
            <w:tcW w:w="58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159,997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98,412</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(17,642)</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(16,934)</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Opera shareholders</w:t>
            </w:r>
          </w:p>
        </w:tc>
        <w:tc>
          <w:tcPr>
            <w:tcW w:w="1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108,282</w:t>
            </w:r>
          </w:p>
        </w:tc>
        <w:tc>
          <w:tcPr>
            <w:tcW w:w="100" w:type="dxa"/>
            <w:vAlign w:val="bottom"/>
            <w:shd w:val="clear" w:color="auto" w:fill="CFF0FC"/>
          </w:tcPr>
          <w:p>
            <w:pPr>
              <w:spacing w:after="0"/>
              <w:rPr>
                <w:sz w:val="21"/>
                <w:szCs w:val="21"/>
                <w:color w:val="auto"/>
              </w:rPr>
            </w:pPr>
          </w:p>
        </w:tc>
      </w:tr>
      <w:tr>
        <w:trPr>
          <w:trHeight w:val="196"/>
        </w:trPr>
        <w:tc>
          <w:tcPr>
            <w:tcW w:w="5820" w:type="dxa"/>
            <w:vAlign w:val="bottom"/>
            <w:tcBorders>
              <w:top w:val="single" w:sz="8" w:color="CFF0FC"/>
            </w:tcBorders>
          </w:tcPr>
          <w:p>
            <w:pPr>
              <w:spacing w:after="0"/>
              <w:rPr>
                <w:sz w:val="17"/>
                <w:szCs w:val="17"/>
                <w:color w:val="auto"/>
              </w:rPr>
            </w:pPr>
          </w:p>
        </w:tc>
        <w:tc>
          <w:tcPr>
            <w:tcW w:w="12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-2279650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-2279650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-2279650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-1988185</wp:posOffset>
            </wp:positionV>
            <wp:extent cx="768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-1988185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-1156970</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-1156970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-864870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-864870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-573405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-556895</wp:posOffset>
            </wp:positionV>
            <wp:extent cx="7683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-573405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-556895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20" w:type="dxa"/>
            <w:vAlign w:val="bottom"/>
          </w:tcPr>
          <w:p>
            <w:pPr>
              <w:spacing w:after="0"/>
              <w:rPr>
                <w:sz w:val="17"/>
                <w:szCs w:val="17"/>
                <w:color w:val="auto"/>
              </w:rPr>
            </w:pPr>
          </w:p>
        </w:tc>
        <w:tc>
          <w:tcPr>
            <w:tcW w:w="12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7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153,301</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108,282</w:t>
            </w:r>
          </w:p>
        </w:tc>
        <w:tc>
          <w:tcPr>
            <w:tcW w:w="100" w:type="dxa"/>
            <w:vAlign w:val="bottom"/>
            <w:shd w:val="clear" w:color="auto" w:fill="CFF0FC"/>
          </w:tcPr>
          <w:p>
            <w:pPr>
              <w:spacing w:after="0"/>
              <w:rPr>
                <w:sz w:val="18"/>
                <w:szCs w:val="18"/>
                <w:color w:val="auto"/>
              </w:rPr>
            </w:pPr>
          </w:p>
        </w:tc>
      </w:tr>
      <w:tr>
        <w:trPr>
          <w:trHeight w:val="216"/>
        </w:trPr>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Items that may be reclassified to the Statement of Operations: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Exchange differences on translation of foreign operations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18"/>
                <w:szCs w:val="18"/>
                <w:color w:val="auto"/>
              </w:rPr>
            </w:pPr>
          </w:p>
        </w:tc>
      </w:tr>
      <w:tr>
        <w:trPr>
          <w:trHeight w:val="216"/>
        </w:trPr>
        <w:tc>
          <w:tcPr>
            <w:tcW w:w="722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Reclassification of exchange differences on loss of control</w:t>
            </w: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2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2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 Opera shareholders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152,559</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111,952</w:t>
            </w:r>
          </w:p>
        </w:tc>
        <w:tc>
          <w:tcPr>
            <w:tcW w:w="100" w:type="dxa"/>
            <w:vAlign w:val="bottom"/>
            <w:shd w:val="clear" w:color="auto" w:fill="CFF0FC"/>
          </w:tcPr>
          <w:p>
            <w:pPr>
              <w:spacing w:after="0"/>
              <w:rPr>
                <w:sz w:val="19"/>
                <w:szCs w:val="19"/>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-316230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-316230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6"/>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02"/>
        </w:trPr>
        <w:tc>
          <w:tcPr>
            <w:tcW w:w="6640" w:type="dxa"/>
            <w:vAlign w:val="bottom"/>
          </w:tcPr>
          <w:p>
            <w:pPr>
              <w:spacing w:after="0"/>
              <w:rPr>
                <w:sz w:val="17"/>
                <w:szCs w:val="17"/>
                <w:color w:val="auto"/>
              </w:rPr>
            </w:pPr>
          </w:p>
        </w:tc>
        <w:tc>
          <w:tcPr>
            <w:tcW w:w="14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34,058</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429,742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430,323</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98,898</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in OPay</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Equity-accounted investments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investments and financial assets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11, 15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823,681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863,792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receivables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112,593</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receivables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155,466</w:t>
            </w:r>
          </w:p>
        </w:tc>
        <w:tc>
          <w:tcPr>
            <w:tcW w:w="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14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279,459</w:t>
            </w:r>
          </w:p>
        </w:tc>
        <w:tc>
          <w:tcPr>
            <w:tcW w:w="120" w:type="dxa"/>
            <w:vAlign w:val="bottom"/>
          </w:tcPr>
          <w:p>
            <w:pPr>
              <w:spacing w:after="0"/>
              <w:rPr>
                <w:sz w:val="18"/>
                <w:szCs w:val="18"/>
                <w:color w:val="auto"/>
              </w:rPr>
            </w:pPr>
          </w:p>
        </w:tc>
      </w:tr>
      <w:tr>
        <w:trPr>
          <w:trHeight w:val="24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10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1,143,251</w:t>
            </w:r>
          </w:p>
        </w:tc>
        <w:tc>
          <w:tcPr>
            <w:tcW w:w="120" w:type="dxa"/>
            <w:vAlign w:val="bottom"/>
            <w:shd w:val="clear" w:color="auto" w:fill="CFF0FC"/>
          </w:tcPr>
          <w:p>
            <w:pPr>
              <w:spacing w:after="0"/>
              <w:rPr>
                <w:sz w:val="21"/>
                <w:szCs w:val="21"/>
                <w:color w:val="auto"/>
              </w:rPr>
            </w:pPr>
          </w:p>
        </w:tc>
      </w:tr>
      <w:tr>
        <w:trPr>
          <w:trHeight w:val="197"/>
        </w:trPr>
        <w:tc>
          <w:tcPr>
            <w:tcW w:w="6640" w:type="dxa"/>
            <w:vAlign w:val="bottom"/>
            <w:tcBorders>
              <w:top w:val="single" w:sz="8" w:color="CFF0FC"/>
            </w:tcBorders>
          </w:tcPr>
          <w:p>
            <w:pPr>
              <w:spacing w:after="0"/>
              <w:rPr>
                <w:sz w:val="17"/>
                <w:szCs w:val="17"/>
                <w:color w:val="auto"/>
              </w:rPr>
            </w:pPr>
          </w:p>
        </w:tc>
        <w:tc>
          <w:tcPr>
            <w:tcW w:w="14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capital</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647,212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576,046</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shares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(238,815)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(238,815)</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536,623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674,735</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(1,268)</w:t>
            </w:r>
          </w:p>
        </w:tc>
      </w:tr>
      <w:tr>
        <w:trPr>
          <w:trHeight w:val="209"/>
        </w:trPr>
        <w:tc>
          <w:tcPr>
            <w:tcW w:w="66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equity attributable to Opera shareholders</w:t>
            </w:r>
          </w:p>
        </w:tc>
        <w:tc>
          <w:tcPr>
            <w:tcW w:w="1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940,100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1,010,716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20" w:type="dxa"/>
            <w:vAlign w:val="bottom"/>
          </w:tcPr>
          <w:p>
            <w:pPr>
              <w:spacing w:after="0"/>
              <w:rPr>
                <w:sz w:val="18"/>
                <w:szCs w:val="18"/>
                <w:color w:val="auto"/>
              </w:rPr>
            </w:pPr>
          </w:p>
        </w:tc>
      </w:tr>
      <w:tr>
        <w:trPr>
          <w:trHeight w:val="210"/>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89,520</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payable</w:t>
            </w: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2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118,768</w:t>
            </w:r>
          </w:p>
        </w:tc>
        <w:tc>
          <w:tcPr>
            <w:tcW w:w="120" w:type="dxa"/>
            <w:vAlign w:val="bottom"/>
          </w:tcPr>
          <w:p>
            <w:pPr>
              <w:spacing w:after="0"/>
              <w:rPr>
                <w:sz w:val="18"/>
                <w:szCs w:val="18"/>
                <w:color w:val="auto"/>
              </w:rPr>
            </w:pPr>
          </w:p>
        </w:tc>
      </w:tr>
      <w:tr>
        <w:trPr>
          <w:trHeight w:val="210"/>
        </w:trPr>
        <w:tc>
          <w:tcPr>
            <w:tcW w:w="6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115,484</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132,535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4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1,055,585</w:t>
            </w:r>
          </w:p>
        </w:tc>
        <w:tc>
          <w:tcPr>
            <w:tcW w:w="10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1,143,251</w:t>
            </w:r>
          </w:p>
        </w:tc>
        <w:tc>
          <w:tcPr>
            <w:tcW w:w="1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-3839845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-3839845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-3282315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-3282315</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-2991485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-2973705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-2991485</wp:posOffset>
            </wp:positionV>
            <wp:extent cx="774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-2973705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-1859915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-1859915</wp:posOffset>
            </wp:positionV>
            <wp:extent cx="7747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-1302385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-462280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number of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68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80" w:type="dxa"/>
            <w:vAlign w:val="bottom"/>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5"/>
                <w:szCs w:val="15"/>
                <w:b w:val="1"/>
                <w:bCs w:val="1"/>
                <w:color w:val="auto"/>
              </w:rPr>
              <w:t>Notes</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to Opera</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2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As of January 1, 2023</w:t>
            </w:r>
          </w:p>
        </w:tc>
        <w:tc>
          <w:tcPr>
            <w:tcW w:w="5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89,215,121</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18</w:t>
            </w:r>
          </w:p>
        </w:tc>
        <w:tc>
          <w:tcPr>
            <w:tcW w:w="32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824,832</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FF0FC"/>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(206,514)</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273,262</w:t>
            </w:r>
          </w:p>
        </w:tc>
        <w:tc>
          <w:tcPr>
            <w:tcW w:w="30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FF0FC"/>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(3,385)</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888,213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Net income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153,301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153,301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(742)</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(742)</w:t>
            </w:r>
          </w:p>
        </w:tc>
        <w:tc>
          <w:tcPr>
            <w:tcW w:w="0" w:type="dxa"/>
            <w:vAlign w:val="bottom"/>
          </w:tcPr>
          <w:p>
            <w:pPr>
              <w:spacing w:after="0"/>
              <w:rPr>
                <w:sz w:val="1"/>
                <w:szCs w:val="1"/>
                <w:color w:val="auto"/>
              </w:rPr>
            </w:pPr>
          </w:p>
        </w:tc>
      </w:tr>
      <w:tr>
        <w:trPr>
          <w:trHeight w:val="162"/>
        </w:trPr>
        <w:tc>
          <w:tcPr>
            <w:tcW w:w="270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Share-based compensation, net of tax</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79"/>
              </w:rPr>
              <w:t>4</w:t>
            </w:r>
          </w:p>
        </w:tc>
        <w:tc>
          <w:tcPr>
            <w:tcW w:w="1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18,600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shd w:val="clear" w:color="auto" w:fill="CFF0FC"/>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shares upon exercise of</w:t>
            </w: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equity awards</w:t>
            </w:r>
          </w:p>
        </w:tc>
        <w:tc>
          <w:tcPr>
            <w:tcW w:w="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5"/>
                <w:szCs w:val="15"/>
                <w:color w:val="auto"/>
                <w:w w:val="79"/>
              </w:rPr>
              <w:t>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1,068,509</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 repurchases</w:t>
            </w:r>
          </w:p>
        </w:tc>
        <w:tc>
          <w:tcPr>
            <w:tcW w:w="5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16</w:t>
            </w:r>
          </w:p>
        </w:tc>
        <w:tc>
          <w:tcPr>
            <w:tcW w:w="1500" w:type="dxa"/>
            <w:vAlign w:val="bottom"/>
            <w:gridSpan w:val="3"/>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(2,765,346)</w:t>
            </w: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(32,695)</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(32,695)</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Dividends</w:t>
            </w:r>
          </w:p>
        </w:tc>
        <w:tc>
          <w:tcPr>
            <w:tcW w:w="5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16</w:t>
            </w: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(107,222)</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(107,222)</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As of December 31, 2023</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87,518,284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717,610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(238,815)</w:t>
            </w:r>
          </w:p>
        </w:tc>
        <w:tc>
          <w:tcPr>
            <w:tcW w:w="1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445,164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(4,127)</w:t>
            </w:r>
          </w:p>
        </w:tc>
        <w:tc>
          <w:tcPr>
            <w:tcW w:w="12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919,850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5"/>
                <w:szCs w:val="15"/>
                <w:color w:val="auto"/>
              </w:rPr>
              <w:t>Net income</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80,771</w:t>
            </w: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80,771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(811)</w:t>
            </w:r>
          </w:p>
        </w:tc>
        <w:tc>
          <w:tcPr>
            <w:tcW w:w="120" w:type="dxa"/>
            <w:vAlign w:val="bottom"/>
          </w:tcPr>
          <w:p>
            <w:pPr>
              <w:spacing w:after="0"/>
              <w:rPr>
                <w:sz w:val="14"/>
                <w:szCs w:val="14"/>
                <w:color w:val="auto"/>
              </w:rPr>
            </w:pPr>
          </w:p>
        </w:tc>
        <w:tc>
          <w:tcPr>
            <w:tcW w:w="9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(811)</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Share-based compensation, net of tax</w:t>
            </w:r>
          </w:p>
        </w:tc>
        <w:tc>
          <w:tcPr>
            <w:tcW w:w="5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w w:val="79"/>
              </w:rPr>
              <w:t>4</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10,689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10,689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shares upon exercise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equity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961,870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Dividends</w:t>
            </w:r>
          </w:p>
        </w:tc>
        <w:tc>
          <w:tcPr>
            <w:tcW w:w="5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16</w:t>
            </w: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(70,398)</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(70,398)</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0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As of December 31, 2024</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88,480,154</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647,212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(238,815)</w:t>
            </w:r>
          </w:p>
        </w:tc>
        <w:tc>
          <w:tcPr>
            <w:tcW w:w="120" w:type="dxa"/>
            <w:vAlign w:val="bottom"/>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536,623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5"/>
                <w:szCs w:val="15"/>
                <w:color w:val="auto"/>
              </w:rPr>
              <w:t>(4,938)</w:t>
            </w:r>
          </w:p>
        </w:tc>
        <w:tc>
          <w:tcPr>
            <w:tcW w:w="120" w:type="dxa"/>
            <w:vAlign w:val="bottom"/>
          </w:tcPr>
          <w:p>
            <w:pPr>
              <w:spacing w:after="0"/>
              <w:rPr>
                <w:sz w:val="13"/>
                <w:szCs w:val="13"/>
                <w:color w:val="auto"/>
              </w:rPr>
            </w:pPr>
          </w:p>
        </w:tc>
        <w:tc>
          <w:tcPr>
            <w:tcW w:w="8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940,100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shd w:val="clear" w:color="auto" w:fill="CFF0FC"/>
          </w:tcPr>
          <w:p>
            <w:pPr>
              <w:ind w:left="60"/>
              <w:spacing w:after="0" w:line="156" w:lineRule="exact"/>
              <w:rPr>
                <w:sz w:val="20"/>
                <w:szCs w:val="20"/>
                <w:color w:val="auto"/>
              </w:rPr>
            </w:pPr>
            <w:r>
              <w:rPr>
                <w:rFonts w:ascii="Times New Roman" w:cs="Times New Roman" w:eastAsia="Times New Roman" w:hAnsi="Times New Roman"/>
                <w:sz w:val="15"/>
                <w:szCs w:val="15"/>
                <w:color w:val="auto"/>
              </w:rPr>
              <w:t>Net income</w:t>
            </w: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108,282</w:t>
            </w:r>
          </w:p>
        </w:tc>
        <w:tc>
          <w:tcPr>
            <w:tcW w:w="2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108,282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Other comprehensive income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Share-based compensation, net of tax</w:t>
            </w:r>
          </w:p>
        </w:tc>
        <w:tc>
          <w:tcPr>
            <w:tcW w:w="5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w w:val="79"/>
              </w:rPr>
              <w:t>4</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29,830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29,830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00" w:type="dxa"/>
            <w:vAlign w:val="bottom"/>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shares upon exercise of</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70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equity awards</w:t>
            </w:r>
          </w:p>
        </w:tc>
        <w:tc>
          <w:tcPr>
            <w:tcW w:w="5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1,167,902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Dividends</w:t>
            </w:r>
          </w:p>
        </w:tc>
        <w:tc>
          <w:tcPr>
            <w:tcW w:w="560" w:type="dxa"/>
            <w:vAlign w:val="bottom"/>
            <w:shd w:val="clear" w:color="auto" w:fill="CFF0FC"/>
          </w:tcPr>
          <w:p>
            <w:pPr>
              <w:jc w:val="center"/>
              <w:spacing w:after="0" w:line="162" w:lineRule="exact"/>
              <w:rPr>
                <w:sz w:val="20"/>
                <w:szCs w:val="20"/>
                <w:color w:val="auto"/>
              </w:rPr>
            </w:pPr>
            <w:r>
              <w:rPr>
                <w:rFonts w:ascii="Times New Roman" w:cs="Times New Roman" w:eastAsia="Times New Roman" w:hAnsi="Times New Roman"/>
                <w:sz w:val="15"/>
                <w:szCs w:val="15"/>
                <w:color w:val="auto"/>
                <w:w w:val="93"/>
              </w:rPr>
              <w:t>16</w:t>
            </w:r>
          </w:p>
        </w:tc>
        <w:tc>
          <w:tcPr>
            <w:tcW w:w="1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(71,167)</w:t>
            </w:r>
          </w:p>
        </w:tc>
        <w:tc>
          <w:tcPr>
            <w:tcW w:w="1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(71,167)</w:t>
            </w:r>
          </w:p>
        </w:tc>
        <w:tc>
          <w:tcPr>
            <w:tcW w:w="0" w:type="dxa"/>
            <w:vAlign w:val="bottom"/>
          </w:tcPr>
          <w:p>
            <w:pPr>
              <w:spacing w:after="0"/>
              <w:rPr>
                <w:sz w:val="1"/>
                <w:szCs w:val="1"/>
                <w:color w:val="auto"/>
              </w:rPr>
            </w:pPr>
          </w:p>
        </w:tc>
      </w:tr>
      <w:tr>
        <w:trPr>
          <w:trHeight w:val="155"/>
        </w:trPr>
        <w:tc>
          <w:tcPr>
            <w:tcW w:w="2700" w:type="dxa"/>
            <w:vAlign w:val="bottom"/>
            <w:tcBorders>
              <w:top w:val="single" w:sz="8" w:color="CFF0FC"/>
              <w:bottom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As of December 31, 2025</w:t>
            </w:r>
          </w:p>
        </w:tc>
        <w:tc>
          <w:tcPr>
            <w:tcW w:w="560" w:type="dxa"/>
            <w:vAlign w:val="bottom"/>
            <w:tcBorders>
              <w:top w:val="single" w:sz="8" w:color="CFF0FC"/>
            </w:tcBorders>
          </w:tcPr>
          <w:p>
            <w:pPr>
              <w:spacing w:after="0"/>
              <w:rPr>
                <w:sz w:val="13"/>
                <w:szCs w:val="13"/>
                <w:color w:val="auto"/>
              </w:rPr>
            </w:pPr>
          </w:p>
        </w:tc>
        <w:tc>
          <w:tcPr>
            <w:tcW w:w="120" w:type="dxa"/>
            <w:vAlign w:val="bottom"/>
            <w:tcBorders>
              <w:top w:val="single" w:sz="8" w:color="CFF0FC"/>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89,648,056</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18</w:t>
            </w:r>
          </w:p>
        </w:tc>
        <w:tc>
          <w:tcPr>
            <w:tcW w:w="22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576,046</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(238,815</w:t>
            </w:r>
          </w:p>
        </w:tc>
        <w:tc>
          <w:tcPr>
            <w:tcW w:w="220" w:type="dxa"/>
            <w:vAlign w:val="bottom"/>
            <w:tcBorders>
              <w:top w:val="single" w:sz="8" w:color="CFF0FC"/>
              <w:bottom w:val="single" w:sz="8" w:color="CFF0FC"/>
            </w:tcBorders>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674,735</w:t>
            </w:r>
          </w:p>
        </w:tc>
        <w:tc>
          <w:tcPr>
            <w:tcW w:w="200" w:type="dxa"/>
            <w:vAlign w:val="bottom"/>
            <w:tcBorders>
              <w:top w:val="single" w:sz="8" w:color="CFF0FC"/>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(1,268)</w:t>
            </w:r>
          </w:p>
        </w:tc>
        <w:tc>
          <w:tcPr>
            <w:tcW w:w="220" w:type="dxa"/>
            <w:vAlign w:val="bottom"/>
            <w:tcBorders>
              <w:top w:val="single" w:sz="8" w:color="CFF0FC"/>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5"/>
                <w:szCs w:val="15"/>
                <w:color w:val="auto"/>
              </w:rPr>
              <w:t>1,010,716</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-1610995</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-1610995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-1610995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-1610995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-1610995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-1610995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-873760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-873760</wp:posOffset>
            </wp:positionV>
            <wp:extent cx="768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-873760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-873760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-873760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-873760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-136525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-136525</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-136525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-136525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-136525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-136525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820" w:type="dxa"/>
            <w:vAlign w:val="bottom"/>
          </w:tcPr>
          <w:p>
            <w:pPr>
              <w:spacing w:after="0"/>
              <w:rPr>
                <w:sz w:val="17"/>
                <w:szCs w:val="17"/>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40" w:type="dxa"/>
            <w:vAlign w:val="bottom"/>
          </w:tcPr>
          <w:p>
            <w:pPr>
              <w:spacing w:after="0"/>
              <w:rPr>
                <w:sz w:val="17"/>
                <w:szCs w:val="17"/>
                <w:color w:val="auto"/>
              </w:rPr>
            </w:pPr>
          </w:p>
        </w:tc>
        <w:tc>
          <w:tcPr>
            <w:tcW w:w="9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159,997</w:t>
            </w: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98,412</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125,216</w:t>
            </w:r>
          </w:p>
        </w:tc>
        <w:tc>
          <w:tcPr>
            <w:tcW w:w="100" w:type="dxa"/>
            <w:vAlign w:val="bottom"/>
          </w:tcPr>
          <w:p>
            <w:pPr>
              <w:spacing w:after="0"/>
              <w:rPr>
                <w:sz w:val="18"/>
                <w:szCs w:val="18"/>
                <w:color w:val="auto"/>
              </w:rPr>
            </w:pPr>
          </w:p>
        </w:tc>
      </w:tr>
      <w:tr>
        <w:trPr>
          <w:trHeight w:val="196"/>
        </w:trPr>
        <w:tc>
          <w:tcPr>
            <w:tcW w:w="5820" w:type="dxa"/>
            <w:vAlign w:val="bottom"/>
            <w:shd w:val="clear" w:color="auto" w:fill="CFF0FC"/>
          </w:tcPr>
          <w:p>
            <w:pPr>
              <w:ind w:left="120"/>
              <w:spacing w:after="0" w:line="195" w:lineRule="exact"/>
              <w:rPr>
                <w:sz w:val="20"/>
                <w:szCs w:val="20"/>
                <w:color w:val="auto"/>
              </w:rPr>
            </w:pPr>
            <w:r>
              <w:rPr>
                <w:rFonts w:ascii="Times New Roman" w:cs="Times New Roman" w:eastAsia="Times New Roman" w:hAnsi="Times New Roman"/>
                <w:sz w:val="18"/>
                <w:szCs w:val="18"/>
                <w:i w:val="1"/>
                <w:iCs w:val="1"/>
                <w:color w:val="auto"/>
              </w:rPr>
              <w:t>Adjustments to reconcile income before income taxes to net cash flow from</w:t>
            </w: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finance (income) expense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Fair value gain on long-term investments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(89,838)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(36,300)</w:t>
            </w: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of net (income) loss of equity-accounted investees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Impairment of non-financial assets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9, 10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18,861</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Cost of equity awards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30,079</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i w:val="1"/>
                <w:iCs w:val="1"/>
                <w:color w:val="auto"/>
              </w:rPr>
              <w:t>Changes in working capital:</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(20,199)</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(22,715)</w:t>
            </w: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(4,830)</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taxes paid</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(5,937)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(7,649)</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(12,854)</w:t>
            </w:r>
          </w:p>
        </w:tc>
      </w:tr>
      <w:tr>
        <w:trPr>
          <w:trHeight w:val="210"/>
        </w:trPr>
        <w:tc>
          <w:tcPr>
            <w:tcW w:w="582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from operating activities</w:t>
            </w:r>
          </w:p>
        </w:tc>
        <w:tc>
          <w:tcPr>
            <w:tcW w:w="1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82,761</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104,977</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117,728</w:t>
            </w:r>
          </w:p>
        </w:tc>
        <w:tc>
          <w:tcPr>
            <w:tcW w:w="100" w:type="dxa"/>
            <w:vAlign w:val="bottom"/>
            <w:tcBorders>
              <w:top w:val="single" w:sz="8" w:color="CFF0FC"/>
            </w:tcBorders>
          </w:tcPr>
          <w:p>
            <w:pPr>
              <w:spacing w:after="0"/>
              <w:rPr>
                <w:sz w:val="18"/>
                <w:szCs w:val="18"/>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equipment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(23,344)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(5,546)</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expenditure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4, 10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(7,263)</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(9,699)</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in an associate</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(1,250)</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long-term investments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sale of short-term investments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received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Pr>
          <w:p>
            <w:pPr>
              <w:spacing w:after="0"/>
              <w:rPr>
                <w:sz w:val="18"/>
                <w:szCs w:val="18"/>
                <w:color w:val="auto"/>
              </w:rPr>
            </w:pPr>
          </w:p>
        </w:tc>
      </w:tr>
      <w:tr>
        <w:trPr>
          <w:trHeight w:val="209"/>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from (used in) investing activities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(27,112)</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(14,451)</w:t>
            </w: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 repurchases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(32,695)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(37,435)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(71,167)</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borrowings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(3,907)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(4,181)</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(4,776)</w:t>
            </w: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cash flow used in financing activities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(59,843)</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(42,146)</w:t>
            </w: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(76,552)</w:t>
            </w:r>
          </w:p>
        </w:tc>
      </w:tr>
      <w:tr>
        <w:trPr>
          <w:trHeight w:val="210"/>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42,918</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35,720</w:t>
            </w: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26,724</w:t>
            </w:r>
          </w:p>
        </w:tc>
        <w:tc>
          <w:tcPr>
            <w:tcW w:w="100" w:type="dxa"/>
            <w:vAlign w:val="bottom"/>
            <w:tcBorders>
              <w:top w:val="single" w:sz="8" w:color="CFF0FC"/>
            </w:tcBorders>
          </w:tcPr>
          <w:p>
            <w:pPr>
              <w:spacing w:after="0"/>
              <w:rPr>
                <w:sz w:val="18"/>
                <w:szCs w:val="18"/>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52,414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155,466</w:t>
            </w:r>
          </w:p>
        </w:tc>
        <w:tc>
          <w:tcPr>
            <w:tcW w:w="100" w:type="dxa"/>
            <w:vAlign w:val="bottom"/>
            <w:shd w:val="clear" w:color="auto" w:fill="CFF0FC"/>
          </w:tcPr>
          <w:p>
            <w:pPr>
              <w:spacing w:after="0"/>
              <w:rPr>
                <w:sz w:val="19"/>
                <w:szCs w:val="19"/>
                <w:color w:val="auto"/>
              </w:rPr>
            </w:pP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-3110865</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-3110865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-1713865</wp:posOffset>
            </wp:positionV>
            <wp:extent cx="768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-1713865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-599440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-599440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Opera Limited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Corporate Information and Group Structure</w:t>
      </w:r>
    </w:p>
    <w:p>
      <w:pPr>
        <w:spacing w:after="0" w:line="202"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Opera is a software company whose core products are its PC and mobile web browsers, which are offered to users globally. In addition to its browsers, Opera develops and operates related digital platforms and services, including gaming portals and development tools, content platforms, advertising technology solutions, and AI- and web3-enabled products such as MiniPay. Opera generates revenue primarily from advertising services and query partner agreements. Advertising revenue is derived from the monetization of inventory within Opera’s products and on partner properties. Query revenue is generated through traffic referral arrangements with search engine providers, e-commerce platforms, AI platforms and other partners, under which Opera earns compensation based on user activity initiated through its browsers’ integrated features.</w:t>
      </w:r>
    </w:p>
    <w:p>
      <w:pPr>
        <w:spacing w:after="0" w:line="14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chart below provides an overview of the corporate structure of the Opera group, comprising Opera Limited (the “Company” or the “Parent”) and its subsidiaries (collectively, “Opera” or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88265</wp:posOffset>
            </wp:positionV>
            <wp:extent cx="6172200" cy="25971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617220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_______________</w:t>
      </w:r>
    </w:p>
    <w:p>
      <w:pPr>
        <w:spacing w:after="0" w:line="29"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0.01% is held by another Opera group entity.</w:t>
      </w:r>
    </w:p>
    <w:p>
      <w:pPr>
        <w:spacing w:after="0" w:line="1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 is held by a nominee shareholder.</w:t>
      </w:r>
    </w:p>
    <w:p>
      <w:pPr>
        <w:spacing w:after="0" w:line="181"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addition to the subsidiaries outlined above, Opera has minority investments in unconsolidated entities (see Note 11).</w:t>
      </w:r>
    </w:p>
    <w:p>
      <w:pPr>
        <w:spacing w:after="0" w:line="198"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Company’s executive chairman has been identified as Opera’s chief operating decision maker. He reviews operating results on a consolidated basis, and accordingly Opera has a single operating segment.</w:t>
      </w:r>
    </w:p>
    <w:p>
      <w:pPr>
        <w:spacing w:after="0" w:line="121" w:lineRule="exact"/>
        <w:rPr>
          <w:sz w:val="20"/>
          <w:szCs w:val="20"/>
          <w:color w:val="auto"/>
        </w:rPr>
      </w:pPr>
    </w:p>
    <w:p>
      <w:pPr>
        <w:jc w:val="both"/>
        <w:ind w:right="180" w:firstLine="374"/>
        <w:spacing w:after="0" w:line="312" w:lineRule="auto"/>
        <w:rPr>
          <w:sz w:val="20"/>
          <w:szCs w:val="20"/>
          <w:color w:val="auto"/>
        </w:rPr>
      </w:pPr>
      <w:r>
        <w:rPr>
          <w:rFonts w:ascii="Times New Roman" w:cs="Times New Roman" w:eastAsia="Times New Roman" w:hAnsi="Times New Roman"/>
          <w:sz w:val="17"/>
          <w:szCs w:val="17"/>
          <w:color w:val="auto"/>
        </w:rPr>
        <w:t>Opera Limited is an exempted company under the laws of the Cayman Islands. Its registered office is Maples Corporate Services Limited, PO Box 309, Ugland House, Grand Cayman, KY1- 1104, Cayman Islands. The address of the principal executive office is Vitaminveien 4, 0485 Oslo, Norway.</w:t>
      </w:r>
    </w:p>
    <w:p>
      <w:pPr>
        <w:spacing w:after="0" w:line="99" w:lineRule="exact"/>
        <w:rPr>
          <w:sz w:val="20"/>
          <w:szCs w:val="20"/>
          <w:color w:val="auto"/>
        </w:rPr>
      </w:pPr>
    </w:p>
    <w:p>
      <w:pPr>
        <w:jc w:val="both"/>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Company has American depositary shares (“ADSs”) listed on the Nasdaq Global Select Market under the “OPRA” ticker symbol. Each ADS represents one ordinary share. As of December 31, 2025, the Company had 250,000,000 ordinary shares authorized for issue, of which 89,648,056 were outstanding. Each ordinary share has a par value of $0.0002.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Accounting Policies, Judgments, and Estimation Uncertainty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189"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IFRS Accounting Standards as issued by the International Accounting Standards Board (IASB). The Board of Directors authorized the consolidated financial statements for issuance on March 27, 2026.</w:t>
      </w:r>
    </w:p>
    <w:p>
      <w:pPr>
        <w:spacing w:after="0" w:line="135" w:lineRule="exact"/>
        <w:rPr>
          <w:sz w:val="20"/>
          <w:szCs w:val="20"/>
          <w:color w:val="auto"/>
        </w:rPr>
      </w:pPr>
    </w:p>
    <w:p>
      <w:pPr>
        <w:ind w:right="580" w:firstLine="37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historical cost basis, except for investments in OPay (see Note 11) and certain stablecoins (see Note 15), which are measured at fair value. Fair value represents the price that would be received to sell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56"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an asset or paid to transfer a liability in an orderly transaction between market participants at the measurement date, regardless of whether that price is directly observable or estimated using a valuation technique. In determining the fair value of an asset or a liability, Opera considers the characteristics of the asset or liability if market participants would take those characteristics into account when pricing the asset or liability at the measurement date.</w:t>
      </w:r>
    </w:p>
    <w:p>
      <w:pPr>
        <w:spacing w:after="0" w:line="149" w:lineRule="exact"/>
        <w:rPr>
          <w:sz w:val="20"/>
          <w:szCs w:val="20"/>
          <w:color w:val="auto"/>
        </w:rPr>
      </w:pPr>
    </w:p>
    <w:p>
      <w:pPr>
        <w:ind w:right="780" w:firstLine="374"/>
        <w:spacing w:after="0" w:line="282" w:lineRule="auto"/>
        <w:rPr>
          <w:sz w:val="20"/>
          <w:szCs w:val="20"/>
          <w:color w:val="auto"/>
        </w:rPr>
      </w:pPr>
      <w:r>
        <w:rPr>
          <w:rFonts w:ascii="Times New Roman" w:cs="Times New Roman" w:eastAsia="Times New Roman" w:hAnsi="Times New Roman"/>
          <w:sz w:val="18"/>
          <w:szCs w:val="18"/>
          <w:color w:val="auto"/>
        </w:rPr>
        <w:t>Except for the general accounting policies described below, Opera’s material accounting policies are described in the respective notes to the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89" w:lineRule="exact"/>
        <w:rPr>
          <w:sz w:val="20"/>
          <w:szCs w:val="20"/>
          <w:color w:val="auto"/>
        </w:rPr>
      </w:pPr>
    </w:p>
    <w:p>
      <w:pPr>
        <w:jc w:val="both"/>
        <w:ind w:right="580" w:firstLine="37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comprise the financial statements of Opera Limited and entities it controls. Control exists when Opera is exposed, or has rights, to variable returns from its involvement with an investee and has the ability to affect those returns through its power over the investee. Control is generally presumed when Opera holds a majority of voting rights.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Aggregation of Income, Expenses, Assets, Liabilities and Cash Flows</w:t>
      </w:r>
    </w:p>
    <w:p>
      <w:pPr>
        <w:spacing w:after="0" w:line="189"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Individually immaterial items of income, expenses, assets, liabilities and cash flows are aggregated and presented in the primary financial statements within line items using the label “other,” such as “other operating expenses.” These aggregated line items may include items of dissimilar characteristics and are disaggregated in the notes to the consolidated financial statements when 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02"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Items included in the financial statements of each of the Group’s entities are measured using the currency of the primary economic environment in which the entity operates (the “functional currency”). The consolidated financial statements are presented in U.S. dollars, which is the functional currency of the Parent. All amounts presented and disclosed in the consolidated financial statements are rounded off to the nearest thousand except when otherwise indicated. Rounding differences may occur.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187"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Foreign currency transactions are recognized at their respective functional currency spot rate at the date the transaction first qualifies for initial recognition. Monetary assets and liabilities denominated in foreign currencies are translated at the functional currency exchange rate at the reporting date. Gains or losses arising from settlement or translation of monetary items are recognized in the Statement of Operations as “Foreign exchange gain (loss).” Non-monetary items measured at historical cost are translated at the exchange rate at the date of the transaction.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Translation of Foreign Operations</w:t>
      </w:r>
    </w:p>
    <w:p>
      <w:pPr>
        <w:spacing w:after="0" w:line="187"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The assets and liabilities of entities within the Group with functional currencies other than the U.S. dollar are translated into U.S. dollars using the currency exchange rate at the reporting date. Income and expenses are translated at average currency exchange rates for the period. The overall impact of translating assets, liabilities, income, and expenses into U.S. dollars is recognized in the Statement of Comprehensive Income as “Exchange differences on translation of foreign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Hyperinflation</w:t>
      </w:r>
    </w:p>
    <w:p>
      <w:pPr>
        <w:spacing w:after="0" w:line="200" w:lineRule="exact"/>
        <w:rPr>
          <w:sz w:val="20"/>
          <w:szCs w:val="20"/>
          <w:color w:val="auto"/>
        </w:rPr>
      </w:pPr>
    </w:p>
    <w:p>
      <w:pPr>
        <w:ind w:right="80" w:firstLine="374"/>
        <w:spacing w:after="0" w:line="253" w:lineRule="auto"/>
        <w:rPr>
          <w:sz w:val="20"/>
          <w:szCs w:val="20"/>
          <w:color w:val="auto"/>
        </w:rPr>
      </w:pPr>
      <w:r>
        <w:rPr>
          <w:rFonts w:ascii="Times New Roman" w:cs="Times New Roman" w:eastAsia="Times New Roman" w:hAnsi="Times New Roman"/>
          <w:sz w:val="18"/>
          <w:szCs w:val="18"/>
          <w:color w:val="auto"/>
        </w:rPr>
        <w:t>The financial statements of an entity whose functional currency is the currency of a hyperinflationary economy, will be restated for the changes in the general purchasing power of the local currency, using a general price index at the end of the reporting period, before translation into U.S. dollars and, as a result, will be stated in terms of the measuring unit current at the end of the reporting period. Several factors are considered when evaluating whether an economy is hyperinflationary, including the cumulative three-year inflation rate, and the degree to which the population’s behaviors and government policies are consistent with such a condition. Nigeria has experienced elevated inflation in recent years. According to the World Economic Outlook report published in October 2025, three-year cumulative inflation was expected to reach 80% by the end of 2025, with projections of 65% by the end of 2026 and 66% by the end of 2027. In January 2025, Nigeria rebased its inflation index, and comparable three-year cumulative local data is therefore not available. Post-rebasing data published by the Central Bank of Nigeria and the National Bureau of Statistics did not provide sufficient evidence to conclude that the economy was hyperinflationary. Other indicators of hyperinflation were also assessed and considered inconclusive. Based on this assessment and the expectation that ongoing fiscal and economic measures will moderate inflation, management concluded that the Nigerian economy was not hyperinflationary in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Judgments and Estimation Uncertainty</w:t>
      </w:r>
    </w:p>
    <w:p>
      <w:pPr>
        <w:spacing w:after="0" w:line="189"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exercise judgment and to make estimates and assumptions that affect the application of accounting policies and the reported amounts of income, expenses, assets and liabilities, as well as the accompanying disclosures. Estimates and underlying assumptions are based on historical experience and other factors considered relevant under the circumstances and are reviewed on an ongoing basis. Actual results may differ from these estimates. Changes in estimates are recognized prospectively in the period of change and, if applicable, in future periods.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areas involving significant judgment or estimation uncertainty, and which could result in material adjustments to the carrying amounts of assets or liabilities in future periods, include:</w:t>
      </w:r>
    </w:p>
    <w:p>
      <w:pPr>
        <w:spacing w:after="0" w:line="135"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and fair value measurement of the investment in OPay (see Note 11).</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product development activities meet the criteria for capitalization (see Note 4).</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whether the Nigerian economy was hyperinflationary (see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Accounting Standards</w:t>
      </w:r>
    </w:p>
    <w:p>
      <w:pPr>
        <w:spacing w:after="0" w:line="18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The accounting policies applied in the preparation of these consolidated financial statements are consistent with those used in the consolidated financial statements for the year ended December 31, 2024. Amendment to IFRS Accounting Standards effective from January 1, 2025 did not have a material impact on the consolidated financial statements. Opera has early adopted the amendments to IFRS 10 and IAS 28 related to the sale or contribution of assets between an investor and its associate or joint venture, but these amendments did not have any impact on these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and Amended Accounting Standards Not Yet Effective</w:t>
      </w:r>
    </w:p>
    <w:p>
      <w:pPr>
        <w:spacing w:after="0" w:line="198" w:lineRule="exact"/>
        <w:rPr>
          <w:sz w:val="20"/>
          <w:szCs w:val="20"/>
          <w:color w:val="auto"/>
        </w:rPr>
      </w:pPr>
    </w:p>
    <w:p>
      <w:pPr>
        <w:ind w:right="40" w:firstLine="374"/>
        <w:spacing w:after="0" w:line="267" w:lineRule="auto"/>
        <w:rPr>
          <w:sz w:val="20"/>
          <w:szCs w:val="20"/>
          <w:color w:val="auto"/>
        </w:rPr>
      </w:pPr>
      <w:r>
        <w:rPr>
          <w:rFonts w:ascii="Times New Roman" w:cs="Times New Roman" w:eastAsia="Times New Roman" w:hAnsi="Times New Roman"/>
          <w:sz w:val="18"/>
          <w:szCs w:val="18"/>
          <w:color w:val="auto"/>
        </w:rPr>
        <w:t xml:space="preserve">IFRS 18 </w:t>
      </w:r>
      <w:r>
        <w:rPr>
          <w:rFonts w:ascii="Times New Roman" w:cs="Times New Roman" w:eastAsia="Times New Roman" w:hAnsi="Times New Roman"/>
          <w:sz w:val="18"/>
          <w:szCs w:val="18"/>
          <w:i w:val="1"/>
          <w:iCs w:val="1"/>
          <w:color w:val="auto"/>
        </w:rPr>
        <w:t>Presentation and Disclosure in Financial Statements</w:t>
      </w:r>
      <w:r>
        <w:rPr>
          <w:rFonts w:ascii="Times New Roman" w:cs="Times New Roman" w:eastAsia="Times New Roman" w:hAnsi="Times New Roman"/>
          <w:sz w:val="18"/>
          <w:szCs w:val="18"/>
          <w:color w:val="auto"/>
        </w:rPr>
        <w:t xml:space="preserve"> will replace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from the annual reporting period beginning on January 1, 2027. IFRS 18 introduces new requirements for the presentation and disclosure of financial performance, with the objective of improving comparability, transparency and usefulness.</w:t>
      </w:r>
    </w:p>
    <w:p>
      <w:pPr>
        <w:spacing w:after="0" w:line="135"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While IFRS 18 will not impact the recognition or measurement of items in the consolidated financial statements and thus will have no impact on Opera’s net income, the new requirements for grouping items of income and expenses into the new operating, investing and financing categories will impact how operating profit is calculated and reported. In particular, foreign exchange gains and losses will be presented in the same operating, investing or financing category as the items of income and expenses that gave rise to the foreign exchange differences.</w:t>
      </w:r>
    </w:p>
    <w:p>
      <w:pPr>
        <w:spacing w:after="0" w:line="139"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IFRS 18 also requires entities to present the primary statements in a way that provides the most useful structured summary, which in the operating category of the income statement may include a combination of classification of expenses by function and by nature. Opera expects to introduce a “cost of revenue” line item, which will aggregate expenses directly related to the provision of goods or services, including technology and platform fees, content cost, and cost of inventory sold. Other operating expenses are expected to continue to be presented by nature.</w:t>
      </w:r>
    </w:p>
    <w:p>
      <w:pPr>
        <w:spacing w:after="0" w:line="153"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Interest income on cash deposits and other income and expenses from assets that generate returns individually and largely independently of Opera’s other resources will be presented within the investing category, while interest expense on lease liabilities will be presented within the financing category. These items are all currently included in finance income and finance expense.</w:t>
      </w:r>
    </w:p>
    <w:p>
      <w:pPr>
        <w:spacing w:after="0" w:line="135"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IFRS 18 also introduces new disclosure requirements for management-defined performance measures. In addition, the starting point for the operating section of the Statement of Cash Flows will change from profit before tax to operating profit. In the first year of adoption, Opera will present reconciliations between amounts previously reported under IAS 1 and those presented under IFRS 18.</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new or amended accounting standards issued but not yet effective are not expected to have a material impact when adopted.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400" w:firstLine="374"/>
        <w:spacing w:after="0" w:line="266" w:lineRule="auto"/>
        <w:rPr>
          <w:sz w:val="20"/>
          <w:szCs w:val="20"/>
          <w:color w:val="auto"/>
        </w:rPr>
      </w:pPr>
      <w:r>
        <w:rPr>
          <w:rFonts w:ascii="Times New Roman" w:cs="Times New Roman" w:eastAsia="Times New Roman" w:hAnsi="Times New Roman"/>
          <w:sz w:val="18"/>
          <w:szCs w:val="18"/>
          <w:color w:val="auto"/>
        </w:rPr>
        <w:t>Revenue represents income from Opera’s ordinary activities and is recognized when control of goods or services is transferred to customers in an amount that reflects the consideration to which Opera expects to be entitled in accordance with IFRS 15. Consideration received in crypto assets is measured at fair value.</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Opera generates revenue from advertising, query arrangements, and other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87"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Advertising revenue is generated from the delivery of advertisements in Opera’s browsers, news products and partner properties. Revenue is recognized when the advertising services are provided in accordance with contractual terms. Revenue from impression-based advertising is recognized when the advertisement is displayed. Revenue from action-based advertising is recognized when the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specified user action occurs. Advertising revenue also includes revenue from contracts with customers that is generated based on user activity within Opera’s products and services, except for query activities.</w:t>
      </w:r>
    </w:p>
    <w:p>
      <w:pPr>
        <w:spacing w:after="0" w:line="135"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The amount of advertising revenue is net of an estimate for price concessions or discounts associated with any invalid traffic. Such concessions or discounts represent variable consideration. Opera applies the expected-value method, taking into account historical rates of invalid traffic, real-time detection signals, and qualitative factors, and constrains the amount of revenue to the amount that is highly probable not to result in a significant reversal.</w:t>
      </w:r>
    </w:p>
    <w:p>
      <w:pPr>
        <w:spacing w:after="0" w:line="135"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For advertising placed on partner properties, Opera acts as the principal as it controls the advertising inventory before it is transferred to the customer. Opera’s control is evidenced by its sole ability to monetize the inventory before it is transferred to its customers and is further supported by Opera being primarily responsible to its customers and having a level of discretion in establishing pricing. As the principal, advertising revenue is reported on a gross basis, that is, the amounts billed to Opera’s customers are recorded as revenue, and amounts paid to the partners are recorded as cost of inventory sold.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Query</w:t>
      </w:r>
    </w:p>
    <w:p>
      <w:pPr>
        <w:spacing w:after="0" w:line="200"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Query revenue is generated from traffic referral arrangements with search engine providers, e-commerce platforms, AI platforms and other partners. Revenue is earned when users submit qualifying queries through the combined address and search bar, or when users, with the proactive intent to obtain information, access partner services through other integrated browser features. Query revenue also includes fixed or variable fees received from partners for related customizations and integrations that enable or enhance user access to partner services.</w:t>
      </w:r>
    </w:p>
    <w:p>
      <w:pPr>
        <w:spacing w:after="0" w:line="139"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Revenue is recognized when the performance obligation is satisfied, generally upon the occurrence of qualifying traffic referrals or user actions and when consideration is determinable. Revenue-sharing arrangements are recognized based on Opera’s contractual share of partner-generated revenue. Revenue from fixed-fee arrangements is recognized over the service period or upon delivery of specified integrations.</w:t>
      </w:r>
    </w:p>
    <w:p>
      <w:pPr>
        <w:spacing w:after="0" w:line="135"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Query revenue includes revenue categorized as “search” in prior periods and non-search query revenue that previously was categorized as advertising revenue. The categorization was updated in 2025 to better reflect the similar nature of these arrangements. Comparative information has been reclassified to conform to the current categorization.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87"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Revenue from on-demand cloud computing services is recognized based on usage, measured by the number of compute instances provided, and is recognized in the period services are made available to the customer.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revenue disaggregated by type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230,980</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290,723</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396,040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Query</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188,997</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216,832</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480,648</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614,825</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320" w:firstLine="374"/>
        <w:spacing w:after="0" w:line="261" w:lineRule="auto"/>
        <w:rPr>
          <w:sz w:val="20"/>
          <w:szCs w:val="20"/>
          <w:color w:val="auto"/>
        </w:rPr>
      </w:pPr>
      <w:r>
        <w:rPr>
          <w:rFonts w:ascii="Times New Roman" w:cs="Times New Roman" w:eastAsia="Times New Roman" w:hAnsi="Times New Roman"/>
          <w:sz w:val="18"/>
          <w:szCs w:val="18"/>
          <w:color w:val="auto"/>
        </w:rPr>
        <w:t>The table below presents revenue by country based on the location of the contracting customer. This may not be indicative of the geographic distribution of revenue-generating activities, as users of Opera’s products and services are located worldwide. In financial statements of prior periods, revenue was attributed based on the location of the customer’s ultimate parent. Comparative information has been reclassified to conform to the current presentation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33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Ireland</w:t>
            </w:r>
          </w:p>
        </w:tc>
        <w:tc>
          <w:tcPr>
            <w:tcW w:w="36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163,048</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184,875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211,665</w:t>
            </w:r>
          </w:p>
        </w:tc>
        <w:tc>
          <w:tcPr>
            <w:tcW w:w="12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3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61,112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85,024</w:t>
            </w:r>
          </w:p>
        </w:tc>
        <w:tc>
          <w:tcPr>
            <w:tcW w:w="120" w:type="dxa"/>
            <w:vAlign w:val="bottom"/>
          </w:tcPr>
          <w:p>
            <w:pPr>
              <w:spacing w:after="0"/>
              <w:rPr>
                <w:sz w:val="18"/>
                <w:szCs w:val="18"/>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34,628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62,714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77,953</w:t>
            </w:r>
          </w:p>
        </w:tc>
        <w:tc>
          <w:tcPr>
            <w:tcW w:w="12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 locations</w:t>
            </w:r>
          </w:p>
        </w:tc>
        <w:tc>
          <w:tcPr>
            <w:tcW w:w="3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138,040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167,925</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240,183</w:t>
            </w:r>
          </w:p>
        </w:tc>
        <w:tc>
          <w:tcPr>
            <w:tcW w:w="120" w:type="dxa"/>
            <w:vAlign w:val="bottom"/>
          </w:tcPr>
          <w:p>
            <w:pPr>
              <w:spacing w:after="0"/>
              <w:rPr>
                <w:sz w:val="18"/>
                <w:szCs w:val="18"/>
                <w:color w:val="auto"/>
              </w:rPr>
            </w:pPr>
          </w:p>
        </w:tc>
      </w:tr>
      <w:tr>
        <w:trPr>
          <w:trHeight w:val="249"/>
        </w:trPr>
        <w:tc>
          <w:tcPr>
            <w:tcW w:w="3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32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396,827</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480,648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614,825</w:t>
            </w:r>
          </w:p>
        </w:tc>
        <w:tc>
          <w:tcPr>
            <w:tcW w:w="120" w:type="dxa"/>
            <w:vAlign w:val="bottom"/>
            <w:shd w:val="clear" w:color="auto" w:fill="CFF0FC"/>
          </w:tcPr>
          <w:p>
            <w:pPr>
              <w:spacing w:after="0"/>
              <w:rPr>
                <w:sz w:val="21"/>
                <w:szCs w:val="21"/>
                <w:color w:val="auto"/>
              </w:rPr>
            </w:pPr>
          </w:p>
        </w:tc>
      </w:tr>
      <w:tr>
        <w:trPr>
          <w:trHeight w:val="588"/>
        </w:trPr>
        <w:tc>
          <w:tcPr>
            <w:tcW w:w="332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tcPr>
          <w:p>
            <w:pPr>
              <w:ind w:left="2140"/>
              <w:spacing w:after="0"/>
              <w:rPr>
                <w:sz w:val="20"/>
                <w:szCs w:val="20"/>
                <w:color w:val="auto"/>
              </w:rPr>
            </w:pPr>
            <w:r>
              <w:rPr>
                <w:rFonts w:ascii="Times New Roman" w:cs="Times New Roman" w:eastAsia="Times New Roman" w:hAnsi="Times New Roman"/>
                <w:sz w:val="18"/>
                <w:szCs w:val="18"/>
                <w:color w:val="auto"/>
              </w:rPr>
              <w:t>F-12</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506"/>
        </w:trPr>
        <w:tc>
          <w:tcPr>
            <w:tcW w:w="33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-744855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-727710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-744855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-727710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-727710</wp:posOffset>
            </wp:positionV>
            <wp:extent cx="774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 from one customer of query and advertising services amounted to more than ten percent of total revenue, as shown below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group 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168,428</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193,294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204,683</w:t>
            </w:r>
          </w:p>
        </w:tc>
        <w:tc>
          <w:tcPr>
            <w:tcW w:w="12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02" w:lineRule="exact"/>
        <w:rPr>
          <w:sz w:val="20"/>
          <w:szCs w:val="20"/>
          <w:color w:val="auto"/>
        </w:rPr>
      </w:pPr>
    </w:p>
    <w:p>
      <w:pPr>
        <w:jc w:val="both"/>
        <w:ind w:right="80" w:firstLine="374"/>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Opera’s contractual commitments to deliver services to customers that have not yet been fulfilled. The following table shows the amounts of remaining performance obligations under fixed-price long-term contracts, and the expected timing for recognition of revenue relative to the end of the reporting period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 the first year</w:t>
            </w:r>
          </w:p>
        </w:tc>
        <w:tc>
          <w:tcPr>
            <w:tcW w:w="98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84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 the second year</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 the third year</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 the fourth year</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 the fifth year</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remaining performance obligations</w:t>
            </w:r>
          </w:p>
        </w:tc>
        <w:tc>
          <w:tcPr>
            <w:tcW w:w="98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42,841</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53,193</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Deferred revenue represents short-term advances from customers where the performance obligations are due to be fully satisfied during the next reporting period. The table below shows the movements in the balance of deferred revenue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60" w:type="dxa"/>
            <w:vAlign w:val="bottom"/>
          </w:tcPr>
          <w:p>
            <w:pPr>
              <w:spacing w:after="0"/>
              <w:rPr>
                <w:sz w:val="18"/>
                <w:szCs w:val="18"/>
                <w:color w:val="auto"/>
              </w:rPr>
            </w:pPr>
          </w:p>
        </w:tc>
        <w:tc>
          <w:tcPr>
            <w:tcW w:w="2840" w:type="dxa"/>
            <w:vAlign w:val="bottom"/>
            <w:tcBorders>
              <w:bottom w:val="single" w:sz="8" w:color="auto"/>
            </w:tcBorders>
            <w:gridSpan w:val="5"/>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7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revenue as of January 1</w:t>
            </w:r>
          </w:p>
        </w:tc>
        <w:tc>
          <w:tcPr>
            <w:tcW w:w="960" w:type="dxa"/>
            <w:vAlign w:val="bottom"/>
            <w:shd w:val="clear" w:color="auto" w:fill="CFF0FC"/>
          </w:tcPr>
          <w:p>
            <w:pPr>
              <w:jc w:val="right"/>
              <w:ind w:right="79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10,272</w:t>
            </w:r>
          </w:p>
        </w:tc>
        <w:tc>
          <w:tcPr>
            <w:tcW w:w="114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5,441</w:t>
            </w:r>
          </w:p>
        </w:tc>
      </w:tr>
      <w:tr>
        <w:trPr>
          <w:trHeight w:val="216"/>
        </w:trPr>
        <w:tc>
          <w:tcPr>
            <w:tcW w:w="7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during the year</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4,499</w:t>
            </w:r>
          </w:p>
        </w:tc>
      </w:tr>
      <w:tr>
        <w:trPr>
          <w:trHeight w:val="216"/>
        </w:trPr>
        <w:tc>
          <w:tcPr>
            <w:tcW w:w="776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Recognized as revenue during the year</w:t>
            </w:r>
          </w:p>
        </w:tc>
        <w:tc>
          <w:tcPr>
            <w:tcW w:w="9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(10,272)</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(5,441)</w:t>
            </w:r>
          </w:p>
        </w:tc>
      </w:tr>
      <w:tr>
        <w:trPr>
          <w:trHeight w:val="20"/>
        </w:trPr>
        <w:tc>
          <w:tcPr>
            <w:tcW w:w="7760" w:type="dxa"/>
            <w:vAlign w:val="bottom"/>
            <w:tcBorders>
              <w:right w:val="single" w:sz="8" w:color="CFF0FC"/>
            </w:tcBorders>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revenue as of December 31</w:t>
            </w:r>
          </w:p>
        </w:tc>
        <w:tc>
          <w:tcPr>
            <w:tcW w:w="960" w:type="dxa"/>
            <w:vAlign w:val="bottom"/>
          </w:tcPr>
          <w:p>
            <w:pPr>
              <w:jc w:val="right"/>
              <w:ind w:right="79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160" w:type="dxa"/>
            <w:vAlign w:val="bottom"/>
          </w:tcPr>
          <w:p>
            <w:pPr>
              <w:spacing w:after="0"/>
              <w:rPr>
                <w:sz w:val="18"/>
                <w:szCs w:val="18"/>
                <w:color w:val="auto"/>
              </w:rPr>
            </w:pPr>
          </w:p>
        </w:tc>
        <w:tc>
          <w:tcPr>
            <w:tcW w:w="114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4,499</w:t>
            </w: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Personnel Expenses, Including Share-based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Cash-Based Compensation</w:t>
      </w:r>
    </w:p>
    <w:p>
      <w:pPr>
        <w:spacing w:after="0" w:line="187"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Cash-based employee compensation is recognized when personnel render services and is measured at the undiscounted amount expected to be paid. Personnel expenses include wages, salaries, bonuses, and related costs for our direct employees, as well as costs for contractors and temporary personnel who provide services under our direction and serve in a capacity similar to that of regular employees.</w:t>
      </w:r>
    </w:p>
    <w:p>
      <w:pPr>
        <w:spacing w:after="0" w:line="135" w:lineRule="exact"/>
        <w:rPr>
          <w:sz w:val="20"/>
          <w:szCs w:val="20"/>
          <w:color w:val="auto"/>
        </w:rPr>
      </w:pPr>
    </w:p>
    <w:p>
      <w:pPr>
        <w:ind w:right="860" w:firstLine="374"/>
        <w:spacing w:after="0" w:line="282" w:lineRule="auto"/>
        <w:rPr>
          <w:sz w:val="20"/>
          <w:szCs w:val="20"/>
          <w:color w:val="auto"/>
        </w:rPr>
      </w:pPr>
      <w:r>
        <w:rPr>
          <w:rFonts w:ascii="Times New Roman" w:cs="Times New Roman" w:eastAsia="Times New Roman" w:hAnsi="Times New Roman"/>
          <w:sz w:val="18"/>
          <w:szCs w:val="18"/>
          <w:color w:val="auto"/>
        </w:rPr>
        <w:t>Contributions to defined contribution pension plans are recognized as an expense when incurred. Opera has no further obligations once the contributions have been paid.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87"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cost of equity-settled awards is determined by the fair value at the date when the grant is made using an appropriate valuation technique. Service and non-market performance conditions are not reflected in the grant-date fair value but are considered in estimating the number of awards expected to vest. The cost is recognized as share-based compensation expense, with a corresponding increase in equity, over the period in which the service and, where applicable, the performance conditions are fulfilled (the “vesting period”). The cumulative expense recognized at each reporting date until the vesting date reflects the extent to which the vesting period has expired and the estimated number of equity instruments that will ultimately vest, such that the amount ultimately recognized is based on the number of awards that meet the service and performance conditions at the vesting date.</w:t>
      </w:r>
    </w:p>
    <w:p>
      <w:pPr>
        <w:spacing w:after="0" w:line="147"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Social security contributions payable in connection with equity awards are recognized as a liability over the vesting period based on the fair values of the awards at the reporting date, taking into account awards that are expected to be exercised. The related expense is allocated over the period from the grant date to the end of the vesting period and is presented as part of the share-based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compensation expense. From the end of the vesting period to the date of exercise, the liability is adjusted by reference to the market value of the equity instruments ultimately delivered.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Research and development expenditure predominantly comprise compensation costs for engineering and technical personnel. Costs incurred in the research phase are expensed as incurred. Development costs are capitalized as intangible assets when the criteria in IAS 38 are met. These include demonstrating the technical feasibility of completing the asset, the intention and ability to complete and use or sell the asset, the existence of probable future economic benefits, the availability of adequate technical, financial or other resources, and the ability to reliably measure the costs attributable to the asset.</w:t>
      </w:r>
    </w:p>
    <w:p>
      <w:pPr>
        <w:spacing w:after="0" w:line="143"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Capitalized development costs primarily relate to the development of new products, new features and significant enhancements to core platform functionality. Costs associated with maintenance activities, including bug fixes, regulatory updates and routine product improvements, are expensed as incurred.</w:t>
      </w:r>
    </w:p>
    <w:p>
      <w:pPr>
        <w:spacing w:after="0" w:line="149"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The assessment of whether and when the capitalization criteria are met requires judgment and is based on management’s evaluation of the technical and commercial feasibility of the underlying projects.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Personnel Expenses Excluding Share-Based Compensation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the amounts of personnel expenses, excluding share-based compensation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including bonuses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(41,890)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(40,890)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(44,986)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contributions</w:t>
            </w:r>
          </w:p>
        </w:tc>
        <w:tc>
          <w:tcPr>
            <w:tcW w:w="3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(5,825)</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(6,519)</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(7,239)</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Contractors and temporary personnel</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(11,796)</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(15,568)</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(19,296)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Defined contribution pension expense</w:t>
            </w:r>
          </w:p>
        </w:tc>
        <w:tc>
          <w:tcPr>
            <w:tcW w:w="3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(3,814)</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(4,135)</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(4,346)</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personnel-related expenses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(2,476)</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(2,827)</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(3,128)</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personnel expenses excluding share-based compensation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(65,801)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(69,940)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(78,994)</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02" w:lineRule="exact"/>
        <w:rPr>
          <w:sz w:val="20"/>
          <w:szCs w:val="20"/>
          <w:color w:val="auto"/>
        </w:rPr>
      </w:pPr>
    </w:p>
    <w:p>
      <w:pPr>
        <w:ind w:right="140" w:firstLine="374"/>
        <w:spacing w:after="0" w:line="255" w:lineRule="auto"/>
        <w:rPr>
          <w:sz w:val="20"/>
          <w:szCs w:val="20"/>
          <w:color w:val="auto"/>
        </w:rPr>
      </w:pPr>
      <w:r>
        <w:rPr>
          <w:rFonts w:ascii="Times New Roman" w:cs="Times New Roman" w:eastAsia="Times New Roman" w:hAnsi="Times New Roman"/>
          <w:sz w:val="18"/>
          <w:szCs w:val="18"/>
          <w:color w:val="auto"/>
        </w:rPr>
        <w:t>Opera maintains a share incentive plan to attract, retain and incentivize employees and align their interests with those of shareholders. The plan provides for the grant of restricted share units (“RSUs”) and options. Each vested RSU entitles the holder to receive one ADS, subject to adjustments for cash dividends, and each vested option entitles the holder to purchase one ADS at an exercise price determined at grant and adjusted by dividends. In addition, certain Opera employees participate in a share incentive plan administered by Kunlun Tech Co., Ltd. (“Kunlun”), Opera’s majority shareholder. Under Kunlun’s plan, employees receive options issued by Kunlun as compensation for services provided to Opera. Each vested option entitles the holder to purchase one share in Kunlun at an exercise price determined at grant. In these consolidated financial statements, the awards granted by Kunlun are described as RSUs to align with their classification under Chinese securities regulations.</w:t>
      </w:r>
    </w:p>
    <w:p>
      <w:pPr>
        <w:spacing w:after="0" w:line="148"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Equity awards granted under both Opera’s and Kunlun’s share incentive plans are classified as equity-settled transactions. Opera has no obligation to settle awards granted under Kunlun’s plan and such awards do not result in dilution of Opera’s shareholders.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the amounts of share-based compensation expenses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47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Opera-granted awards</w:t>
            </w:r>
          </w:p>
        </w:tc>
        <w:tc>
          <w:tcPr>
            <w:tcW w:w="22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(8,488)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(5,758)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(27,282)</w:t>
            </w: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Cost of parent-granted awards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(2,872)</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(2,797)</w:t>
            </w:r>
          </w:p>
        </w:tc>
      </w:tr>
      <w:tr>
        <w:trPr>
          <w:trHeight w:val="20"/>
        </w:trPr>
        <w:tc>
          <w:tcPr>
            <w:tcW w:w="4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cost of equity awards</w:t>
            </w:r>
          </w:p>
        </w:tc>
        <w:tc>
          <w:tcPr>
            <w:tcW w:w="1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(14,938)</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(8,631)</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(30,079)</w:t>
            </w:r>
          </w:p>
        </w:tc>
      </w:tr>
      <w:tr>
        <w:trPr>
          <w:trHeight w:val="20"/>
        </w:trPr>
        <w:tc>
          <w:tcPr>
            <w:tcW w:w="470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Social security contributions for Opera-granted awards</w:t>
            </w:r>
          </w:p>
        </w:tc>
        <w:tc>
          <w:tcPr>
            <w:tcW w:w="1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(2,012)</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(1,194)</w:t>
            </w:r>
          </w:p>
        </w:tc>
      </w:tr>
      <w:tr>
        <w:trPr>
          <w:trHeight w:val="20"/>
        </w:trPr>
        <w:tc>
          <w:tcPr>
            <w:tcW w:w="4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expenses</w:t>
            </w:r>
          </w:p>
        </w:tc>
        <w:tc>
          <w:tcPr>
            <w:tcW w:w="19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(16,950)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(9,718)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(31,273)</w:t>
            </w:r>
          </w:p>
        </w:tc>
      </w:tr>
      <w:tr>
        <w:trPr>
          <w:trHeight w:val="601"/>
        </w:trPr>
        <w:tc>
          <w:tcPr>
            <w:tcW w:w="4700" w:type="dxa"/>
            <w:vAlign w:val="bottom"/>
            <w:tcBorders>
              <w:top w:val="single" w:sz="8" w:color="CFF0FC"/>
            </w:tcBorders>
          </w:tcPr>
          <w:p>
            <w:pPr>
              <w:spacing w:after="0"/>
              <w:rPr>
                <w:sz w:val="24"/>
                <w:szCs w:val="24"/>
                <w:color w:val="auto"/>
              </w:rPr>
            </w:pPr>
          </w:p>
        </w:tc>
        <w:tc>
          <w:tcPr>
            <w:tcW w:w="1940" w:type="dxa"/>
            <w:vAlign w:val="bottom"/>
            <w:tcBorders>
              <w:top w:val="single" w:sz="8" w:color="CFF0FC"/>
            </w:tcBorders>
          </w:tcPr>
          <w:p>
            <w:pPr>
              <w:ind w:left="760"/>
              <w:spacing w:after="0"/>
              <w:rPr>
                <w:sz w:val="20"/>
                <w:szCs w:val="20"/>
                <w:color w:val="auto"/>
              </w:rPr>
            </w:pPr>
            <w:r>
              <w:rPr>
                <w:rFonts w:ascii="Times New Roman" w:cs="Times New Roman" w:eastAsia="Times New Roman" w:hAnsi="Times New Roman"/>
                <w:sz w:val="18"/>
                <w:szCs w:val="18"/>
                <w:color w:val="auto"/>
              </w:rPr>
              <w:t>F-14</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493"/>
        </w:trPr>
        <w:tc>
          <w:tcPr>
            <w:tcW w:w="47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-1036320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-1036320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-1036320</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-744855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-727710</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-744855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-727710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-727710</wp:posOffset>
            </wp:positionV>
            <wp:extent cx="7747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movements in the number of RSUs and options: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20" w:type="dxa"/>
            <w:vAlign w:val="bottom"/>
          </w:tcPr>
          <w:p>
            <w:pPr>
              <w:spacing w:after="0"/>
              <w:rPr>
                <w:sz w:val="15"/>
                <w:szCs w:val="15"/>
                <w:color w:val="auto"/>
              </w:rPr>
            </w:pPr>
          </w:p>
        </w:tc>
        <w:tc>
          <w:tcPr>
            <w:tcW w:w="2040" w:type="dxa"/>
            <w:vAlign w:val="bottom"/>
            <w:gridSpan w:val="4"/>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Opera: RSUs</w:t>
            </w:r>
          </w:p>
        </w:tc>
        <w:tc>
          <w:tcPr>
            <w:tcW w:w="240" w:type="dxa"/>
            <w:vAlign w:val="bottom"/>
          </w:tcPr>
          <w:p>
            <w:pPr>
              <w:spacing w:after="0"/>
              <w:rPr>
                <w:sz w:val="15"/>
                <w:szCs w:val="15"/>
                <w:color w:val="auto"/>
              </w:rPr>
            </w:pPr>
          </w:p>
        </w:tc>
        <w:tc>
          <w:tcPr>
            <w:tcW w:w="1980" w:type="dxa"/>
            <w:vAlign w:val="bottom"/>
            <w:gridSpan w:val="4"/>
          </w:tcPr>
          <w:p>
            <w:pPr>
              <w:jc w:val="right"/>
              <w:ind w:right="399"/>
              <w:spacing w:after="0"/>
              <w:rPr>
                <w:sz w:val="20"/>
                <w:szCs w:val="20"/>
                <w:color w:val="auto"/>
              </w:rPr>
            </w:pPr>
            <w:r>
              <w:rPr>
                <w:rFonts w:ascii="Times New Roman" w:cs="Times New Roman" w:eastAsia="Times New Roman" w:hAnsi="Times New Roman"/>
                <w:sz w:val="15"/>
                <w:szCs w:val="15"/>
                <w:b w:val="1"/>
                <w:bCs w:val="1"/>
                <w:color w:val="auto"/>
              </w:rPr>
              <w:t>Opera: Options</w:t>
            </w:r>
          </w:p>
        </w:tc>
        <w:tc>
          <w:tcPr>
            <w:tcW w:w="220" w:type="dxa"/>
            <w:vAlign w:val="bottom"/>
          </w:tcPr>
          <w:p>
            <w:pPr>
              <w:spacing w:after="0"/>
              <w:rPr>
                <w:sz w:val="15"/>
                <w:szCs w:val="15"/>
                <w:color w:val="auto"/>
              </w:rPr>
            </w:pPr>
          </w:p>
        </w:tc>
        <w:tc>
          <w:tcPr>
            <w:tcW w:w="2140" w:type="dxa"/>
            <w:vAlign w:val="bottom"/>
            <w:gridSpan w:val="5"/>
          </w:tcPr>
          <w:p>
            <w:pPr>
              <w:ind w:left="520"/>
              <w:spacing w:after="0"/>
              <w:rPr>
                <w:sz w:val="20"/>
                <w:szCs w:val="20"/>
                <w:color w:val="auto"/>
              </w:rPr>
            </w:pPr>
            <w:r>
              <w:rPr>
                <w:rFonts w:ascii="Times New Roman" w:cs="Times New Roman" w:eastAsia="Times New Roman" w:hAnsi="Times New Roman"/>
                <w:sz w:val="15"/>
                <w:szCs w:val="15"/>
                <w:b w:val="1"/>
                <w:bCs w:val="1"/>
                <w:color w:val="auto"/>
              </w:rPr>
              <w:t>Kunlun: RSUs</w:t>
            </w:r>
          </w:p>
        </w:tc>
      </w:tr>
      <w:tr>
        <w:trPr>
          <w:trHeight w:val="134"/>
        </w:trPr>
        <w:tc>
          <w:tcPr>
            <w:tcW w:w="46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ind w:right="60"/>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2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22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60"/>
              <w:spacing w:after="0" w:line="134" w:lineRule="exact"/>
              <w:rPr>
                <w:sz w:val="20"/>
                <w:szCs w:val="20"/>
                <w:color w:val="auto"/>
              </w:rPr>
            </w:pPr>
            <w:r>
              <w:rPr>
                <w:rFonts w:ascii="Times New Roman" w:cs="Times New Roman" w:eastAsia="Times New Roman" w:hAnsi="Times New Roman"/>
                <w:sz w:val="15"/>
                <w:szCs w:val="15"/>
                <w:b w:val="1"/>
                <w:bCs w:val="1"/>
                <w:color w:val="auto"/>
              </w:rPr>
              <w:t>Weighted</w:t>
            </w:r>
          </w:p>
        </w:tc>
        <w:tc>
          <w:tcPr>
            <w:tcW w:w="100" w:type="dxa"/>
            <w:vAlign w:val="bottom"/>
          </w:tcPr>
          <w:p>
            <w:pPr>
              <w:spacing w:after="0"/>
              <w:rPr>
                <w:sz w:val="11"/>
                <w:szCs w:val="11"/>
                <w:color w:val="auto"/>
              </w:rPr>
            </w:pPr>
          </w:p>
        </w:tc>
      </w:tr>
      <w:tr>
        <w:trPr>
          <w:trHeight w:val="162"/>
        </w:trPr>
        <w:tc>
          <w:tcPr>
            <w:tcW w:w="4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Average</w:t>
            </w:r>
          </w:p>
        </w:tc>
      </w:tr>
      <w:tr>
        <w:trPr>
          <w:trHeight w:val="162"/>
        </w:trPr>
        <w:tc>
          <w:tcPr>
            <w:tcW w:w="4620" w:type="dxa"/>
            <w:vAlign w:val="bottom"/>
          </w:tcPr>
          <w:p>
            <w:pPr>
              <w:spacing w:after="0"/>
              <w:rPr>
                <w:sz w:val="14"/>
                <w:szCs w:val="14"/>
                <w:color w:val="auto"/>
              </w:rPr>
            </w:pPr>
          </w:p>
        </w:tc>
        <w:tc>
          <w:tcPr>
            <w:tcW w:w="1200" w:type="dxa"/>
            <w:vAlign w:val="bottom"/>
            <w:gridSpan w:val="2"/>
          </w:tcPr>
          <w:p>
            <w:pPr>
              <w:jc w:val="right"/>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8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b w:val="1"/>
                <w:bCs w:val="1"/>
                <w:color w:val="auto"/>
              </w:rPr>
              <w:t>Grant Date</w:t>
            </w:r>
          </w:p>
        </w:tc>
        <w:tc>
          <w:tcPr>
            <w:tcW w:w="240" w:type="dxa"/>
            <w:vAlign w:val="bottom"/>
          </w:tcPr>
          <w:p>
            <w:pPr>
              <w:spacing w:after="0"/>
              <w:rPr>
                <w:sz w:val="14"/>
                <w:szCs w:val="14"/>
                <w:color w:val="auto"/>
              </w:rPr>
            </w:pPr>
          </w:p>
        </w:tc>
        <w:tc>
          <w:tcPr>
            <w:tcW w:w="940" w:type="dxa"/>
            <w:vAlign w:val="bottom"/>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220" w:type="dxa"/>
            <w:vAlign w:val="bottom"/>
          </w:tcPr>
          <w:p>
            <w:pPr>
              <w:spacing w:after="0"/>
              <w:rPr>
                <w:sz w:val="14"/>
                <w:szCs w:val="14"/>
                <w:color w:val="auto"/>
              </w:rPr>
            </w:pPr>
          </w:p>
        </w:tc>
        <w:tc>
          <w:tcPr>
            <w:tcW w:w="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Grant Date</w:t>
            </w:r>
          </w:p>
        </w:tc>
        <w:tc>
          <w:tcPr>
            <w:tcW w:w="220" w:type="dxa"/>
            <w:vAlign w:val="bottom"/>
          </w:tcPr>
          <w:p>
            <w:pPr>
              <w:spacing w:after="0"/>
              <w:rPr>
                <w:sz w:val="14"/>
                <w:szCs w:val="14"/>
                <w:color w:val="auto"/>
              </w:rPr>
            </w:pPr>
          </w:p>
        </w:tc>
        <w:tc>
          <w:tcPr>
            <w:tcW w:w="114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000" w:type="dxa"/>
            <w:vAlign w:val="bottom"/>
            <w:gridSpan w:val="3"/>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Grant Date</w:t>
            </w:r>
          </w:p>
        </w:tc>
      </w:tr>
      <w:tr>
        <w:trPr>
          <w:trHeight w:val="183"/>
        </w:trPr>
        <w:tc>
          <w:tcPr>
            <w:tcW w:w="4620" w:type="dxa"/>
            <w:vAlign w:val="bottom"/>
          </w:tcPr>
          <w:p>
            <w:pPr>
              <w:spacing w:after="0"/>
              <w:rPr>
                <w:sz w:val="15"/>
                <w:szCs w:val="15"/>
                <w:color w:val="auto"/>
              </w:rPr>
            </w:pPr>
          </w:p>
        </w:tc>
        <w:tc>
          <w:tcPr>
            <w:tcW w:w="9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RSUs</w:t>
            </w:r>
          </w:p>
        </w:tc>
        <w:tc>
          <w:tcPr>
            <w:tcW w:w="26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22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5"/>
                <w:szCs w:val="15"/>
                <w:b w:val="1"/>
                <w:bCs w:val="1"/>
                <w:color w:val="auto"/>
              </w:rPr>
              <w:t>RSUs</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0" w:type="dxa"/>
            <w:vAlign w:val="bottom"/>
          </w:tcPr>
          <w:p>
            <w:pPr>
              <w:spacing w:after="0"/>
              <w:rPr>
                <w:sz w:val="15"/>
                <w:szCs w:val="15"/>
                <w:color w:val="auto"/>
              </w:rPr>
            </w:pPr>
          </w:p>
        </w:tc>
      </w:tr>
      <w:tr>
        <w:trPr>
          <w:trHeight w:val="19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January 1, 2024</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1,918,473</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6,292,500</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Regular awards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390,000</w:t>
            </w:r>
          </w:p>
        </w:tc>
        <w:tc>
          <w:tcPr>
            <w:tcW w:w="2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1,610,824</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Dividend adjustment awards granted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89,946</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(19,295)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(961,870)</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(2,199,000)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FF0FC"/>
          </w:tcPr>
          <w:p>
            <w:pPr>
              <w:spacing w:after="0"/>
              <w:rPr>
                <w:sz w:val="17"/>
                <w:szCs w:val="17"/>
                <w:color w:val="auto"/>
              </w:rPr>
            </w:pPr>
          </w:p>
        </w:tc>
      </w:tr>
      <w:tr>
        <w:trPr>
          <w:trHeight w:val="196"/>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1,417,254</w:t>
            </w:r>
          </w:p>
        </w:tc>
        <w:tc>
          <w:tcPr>
            <w:tcW w:w="2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5,704,324</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Regular awards granted</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1,944,950</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4,152,421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 adjustment awards 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112,262</w:t>
            </w:r>
          </w:p>
        </w:tc>
        <w:tc>
          <w:tcPr>
            <w:tcW w:w="2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6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(118,959)</w:t>
            </w:r>
          </w:p>
        </w:tc>
        <w:tc>
          <w:tcPr>
            <w:tcW w:w="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(1,672,740)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Exercised</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(1,167,902)</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(1,241,575)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7"/>
                <w:szCs w:val="17"/>
                <w:color w:val="auto"/>
              </w:rPr>
            </w:pPr>
          </w:p>
        </w:tc>
      </w:tr>
      <w:tr>
        <w:trPr>
          <w:trHeight w:val="236"/>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Outstanding as of December 31, 2025</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2,187,605</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320" w:type="dxa"/>
            <w:vAlign w:val="bottom"/>
            <w:tcBorders>
              <w:top w:val="single" w:sz="8" w:color="CFF0FC"/>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6,942,430</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-835025</wp:posOffset>
            </wp:positionV>
            <wp:extent cx="102870" cy="1708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4964430</wp:posOffset>
            </wp:positionH>
            <wp:positionV relativeFrom="paragraph">
              <wp:posOffset>-835025</wp:posOffset>
            </wp:positionV>
            <wp:extent cx="93980" cy="1708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-835025</wp:posOffset>
            </wp:positionV>
            <wp:extent cx="93980" cy="1708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77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-162560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-162560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20" w:firstLine="374"/>
        <w:spacing w:after="0" w:line="312" w:lineRule="auto"/>
        <w:rPr>
          <w:sz w:val="20"/>
          <w:szCs w:val="20"/>
          <w:color w:val="auto"/>
        </w:rPr>
      </w:pPr>
      <w:r>
        <w:rPr>
          <w:rFonts w:ascii="Times New Roman" w:cs="Times New Roman" w:eastAsia="Times New Roman" w:hAnsi="Times New Roman"/>
          <w:sz w:val="17"/>
          <w:szCs w:val="17"/>
          <w:color w:val="auto"/>
        </w:rPr>
        <w:t>Dividend adjustment awards represent increases in the number of unexercised RSUs based on the yield of dividends paid. These awards are designed to preserve the economic value of the original awards and therefore have no incremental value when considered together with the original regular awards.</w:t>
      </w:r>
    </w:p>
    <w:p>
      <w:pPr>
        <w:spacing w:after="0" w:line="113"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As of December 31, 2025, the weighted average remaining vesting period for RSUs and options outstanding under Opera’s share incentive plan was 0.56 years (2024: 0.44 years), whereas the weighted average remaining vesting period for RSUs outstanding under Kunlun’s share incentive plan was 0.96 years (2024: 0.79 years).</w:t>
      </w:r>
    </w:p>
    <w:p>
      <w:pPr>
        <w:spacing w:after="0" w:line="135" w:lineRule="exact"/>
        <w:rPr>
          <w:sz w:val="20"/>
          <w:szCs w:val="20"/>
          <w:color w:val="auto"/>
        </w:rPr>
      </w:pPr>
    </w:p>
    <w:p>
      <w:pPr>
        <w:ind w:right="340" w:firstLine="374"/>
        <w:spacing w:after="0" w:line="261" w:lineRule="auto"/>
        <w:rPr>
          <w:sz w:val="20"/>
          <w:szCs w:val="20"/>
          <w:color w:val="auto"/>
        </w:rPr>
      </w:pPr>
      <w:r>
        <w:rPr>
          <w:rFonts w:ascii="Times New Roman" w:cs="Times New Roman" w:eastAsia="Times New Roman" w:hAnsi="Times New Roman"/>
          <w:sz w:val="18"/>
          <w:szCs w:val="18"/>
          <w:color w:val="auto"/>
        </w:rPr>
        <w:t>The fair value of RSUs granted by Opera was determined using a Monte Carlo simulation, whereas the fair value of options granted by Opera and RSUs granted by Kunlun were determined using the Black-Scholes model. These valuation techniques require the identification of appropriate inputs, including fair value of the underlying equity instruments at the grant date, expected life of the grant and volatility. Set forth in the table below are the weighted average values for inputs used in the valuation techniques: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Opera</w:t>
            </w:r>
          </w:p>
        </w:tc>
        <w:tc>
          <w:tcPr>
            <w:tcW w:w="9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Kunlun</w:t>
            </w: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6"/>
        </w:trPr>
        <w:tc>
          <w:tcPr>
            <w:tcW w:w="5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 RSU</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 RSU</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2024 RSU</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2025 RSU</w:t>
            </w:r>
          </w:p>
        </w:tc>
        <w:tc>
          <w:tcPr>
            <w:tcW w:w="220" w:type="dxa"/>
            <w:vAlign w:val="bottom"/>
          </w:tcPr>
          <w:p>
            <w:pPr>
              <w:spacing w:after="0"/>
              <w:rPr>
                <w:sz w:val="16"/>
                <w:szCs w:val="16"/>
                <w:color w:val="auto"/>
              </w:rPr>
            </w:pPr>
          </w:p>
        </w:tc>
      </w:tr>
      <w:tr>
        <w:trPr>
          <w:trHeight w:val="215"/>
        </w:trPr>
        <w:tc>
          <w:tcPr>
            <w:tcW w:w="5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Grants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Grants</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Grants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Grants</w:t>
            </w:r>
          </w:p>
        </w:tc>
        <w:tc>
          <w:tcPr>
            <w:tcW w:w="220" w:type="dxa"/>
            <w:vAlign w:val="bottom"/>
          </w:tcPr>
          <w:p>
            <w:pPr>
              <w:spacing w:after="0"/>
              <w:rPr>
                <w:sz w:val="18"/>
                <w:szCs w:val="18"/>
                <w:color w:val="auto"/>
              </w:rPr>
            </w:pPr>
          </w:p>
        </w:tc>
      </w:tr>
      <w:tr>
        <w:trPr>
          <w:trHeight w:val="21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underlying share at grant date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shd w:val="clear" w:color="auto" w:fill="CFF0FC"/>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34.5 %</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Duration of initial simulation period (years to longstop date)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Duration of second simulation period with postponed exercise (years)</w:t>
            </w: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The expected volatility was computed based on the annualized standard deviation on the continuously compounded rates of return for the historical prices of Opera’s and Kunlun’s shares, and with regard to RSUs granted by Kunlun, certain similar companies, over a period equal to the expected lifetime of the equity awards.</w:t>
      </w:r>
    </w:p>
    <w:p>
      <w:pPr>
        <w:spacing w:after="0" w:line="135"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Based on the inputs above, the weighted average fair value at the grant dates of regular RSUs was $12.58 in 2024 and $19.51 in 2025, whereas the weighted average fair value at the grant dates of RSUs granted by Kunlun was $3.22 in 2024 and $1.96 in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to Key Management Personnel</w:t>
      </w:r>
    </w:p>
    <w:p>
      <w:pPr>
        <w:spacing w:after="0" w:line="202" w:lineRule="exact"/>
        <w:rPr>
          <w:sz w:val="20"/>
          <w:szCs w:val="20"/>
          <w:color w:val="auto"/>
        </w:rPr>
      </w:pPr>
    </w:p>
    <w:p>
      <w:pPr>
        <w:ind w:right="120" w:firstLine="374"/>
        <w:spacing w:after="0" w:line="282" w:lineRule="auto"/>
        <w:rPr>
          <w:sz w:val="20"/>
          <w:szCs w:val="20"/>
          <w:color w:val="auto"/>
        </w:rPr>
      </w:pPr>
      <w:r>
        <w:rPr>
          <w:rFonts w:ascii="Times New Roman" w:cs="Times New Roman" w:eastAsia="Times New Roman" w:hAnsi="Times New Roman"/>
          <w:sz w:val="18"/>
          <w:szCs w:val="18"/>
          <w:color w:val="auto"/>
        </w:rPr>
        <w:t>The table below presents the amounts of expensed compensation to the directors and executive officers of the Company, including the grant-date fair value of vested equity awards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8"/>
              </w:rPr>
              <w:t>(2,495)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(2,064)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(3,871)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and medical benefits</w:t>
            </w:r>
          </w:p>
        </w:tc>
        <w:tc>
          <w:tcPr>
            <w:tcW w:w="840" w:type="dxa"/>
            <w:vAlign w:val="bottom"/>
          </w:tcPr>
          <w:p>
            <w:pPr>
              <w:spacing w:after="0"/>
              <w:rPr>
                <w:sz w:val="18"/>
                <w:szCs w:val="18"/>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8"/>
              </w:rPr>
              <w:t>(1,693)</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(3,571)</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(3,835)</w:t>
            </w: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compensation to key management personnel</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w w:val="98"/>
              </w:rPr>
              <w:t>(4,260)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(5,751)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(7,706)</w:t>
            </w: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No loans or guarantees have been provided to key management personnel. Key management personnel do not have contractual arrangements for compensation upon termination of employment or directorship.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Personnel Costs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amounts of compensation to employees engaged in research and development activities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personnel costs expensed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(41,511)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(46,673)</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(49,335)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development costs (Note 10)</w:t>
            </w:r>
          </w:p>
        </w:tc>
        <w:tc>
          <w:tcPr>
            <w:tcW w:w="3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(4,587)</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(7,705)</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(10,173)</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R&amp;D personnel costs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(46,098)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(54,378)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(59,508)</w:t>
            </w:r>
          </w:p>
        </w:tc>
      </w:tr>
      <w:tr>
        <w:trPr>
          <w:trHeight w:val="413"/>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5 — Other Operating Expenses</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405"/>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table below presents the components of other operating expenses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5"/>
        </w:trPr>
        <w:tc>
          <w:tcPr>
            <w:tcW w:w="6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Hosting</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(10,161)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(12,360)</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(13,572)</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Audit, legal and other advisory services</w:t>
            </w:r>
          </w:p>
        </w:tc>
        <w:tc>
          <w:tcPr>
            <w:tcW w:w="3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(8,669)</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(7,687)</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(6,171)</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fees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(3,357)</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(4,026)</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(3,418)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Rent and other office expenses</w:t>
            </w:r>
          </w:p>
        </w:tc>
        <w:tc>
          <w:tcPr>
            <w:tcW w:w="3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(2,700)</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(2,305)</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(2,295)</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Travel</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(1,848)</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(1,959)</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(1,978)</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tcPr>
          <w:p>
            <w:pPr>
              <w:spacing w:after="0"/>
              <w:rPr>
                <w:sz w:val="18"/>
                <w:szCs w:val="18"/>
                <w:color w:val="auto"/>
              </w:rPr>
            </w:pP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(4,106)</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(3,338)</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(3,856)</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operating expenses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(30,842)</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(31,674)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(31,291)</w:t>
            </w:r>
          </w:p>
        </w:tc>
      </w:tr>
      <w:tr>
        <w:trPr>
          <w:trHeight w:val="588"/>
        </w:trPr>
        <w:tc>
          <w:tcPr>
            <w:tcW w:w="6640" w:type="dxa"/>
            <w:vAlign w:val="bottom"/>
            <w:tcBorders>
              <w:top w:val="single" w:sz="8" w:color="CFF0FC"/>
            </w:tcBorders>
          </w:tcPr>
          <w:p>
            <w:pPr>
              <w:ind w:left="5460"/>
              <w:spacing w:after="0"/>
              <w:rPr>
                <w:sz w:val="20"/>
                <w:szCs w:val="20"/>
                <w:color w:val="auto"/>
              </w:rPr>
            </w:pPr>
            <w:r>
              <w:rPr>
                <w:rFonts w:ascii="Times New Roman" w:cs="Times New Roman" w:eastAsia="Times New Roman" w:hAnsi="Times New Roman"/>
                <w:sz w:val="18"/>
                <w:szCs w:val="18"/>
                <w:color w:val="auto"/>
              </w:rPr>
              <w:t>F-16</w:t>
            </w: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506"/>
        </w:trPr>
        <w:tc>
          <w:tcPr>
            <w:tcW w:w="6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-2682240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-2665095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-2682240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-2665095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-2682240</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-2665095</wp:posOffset>
            </wp:positionV>
            <wp:extent cx="7747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-744855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-728345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-744855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-728345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-744855</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Finance Income and Finance Expenses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the components of finance income and finance expenses, including foreign exchange gains and losses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income:</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on cash and cash equivalents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on Star X receivable</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interest income</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settlement of receivable from sale of investment</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gain on short-term investments (Note 16)</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finance income</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Borders>
              <w:top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8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tcBorders>
              <w:top w:val="single" w:sz="8" w:color="CFF0FC"/>
            </w:tcBorders>
          </w:tcPr>
          <w:p>
            <w:pPr>
              <w:spacing w:after="0"/>
              <w:rPr>
                <w:sz w:val="18"/>
                <w:szCs w:val="18"/>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Finance expenses:</w:t>
            </w: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on lease liabilities (Note 13)</w:t>
            </w:r>
          </w:p>
        </w:tc>
        <w:tc>
          <w:tcPr>
            <w:tcW w:w="840" w:type="dxa"/>
            <w:vAlign w:val="bottom"/>
          </w:tcPr>
          <w:p>
            <w:pPr>
              <w:spacing w:after="0"/>
              <w:rPr>
                <w:sz w:val="18"/>
                <w:szCs w:val="18"/>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interest expense</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finance expenses</w:t>
            </w:r>
          </w:p>
        </w:tc>
        <w:tc>
          <w:tcPr>
            <w:tcW w:w="840" w:type="dxa"/>
            <w:vAlign w:val="bottom"/>
          </w:tcPr>
          <w:p>
            <w:pPr>
              <w:spacing w:after="0"/>
              <w:rPr>
                <w:sz w:val="18"/>
                <w:szCs w:val="18"/>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finance expenses</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(610)</w:t>
            </w:r>
          </w:p>
        </w:tc>
      </w:tr>
      <w:tr>
        <w:trPr>
          <w:trHeight w:val="209"/>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Foreign exchange gain (loss):</w:t>
            </w:r>
          </w:p>
        </w:tc>
        <w:tc>
          <w:tcPr>
            <w:tcW w:w="8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8"/>
              </w:rPr>
              <w:t>(1,901)</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Realized foreign exchange gain (loss)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(3,087)</w:t>
            </w:r>
          </w:p>
        </w:tc>
        <w:tc>
          <w:tcPr>
            <w:tcW w:w="2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(4,289)</w:t>
            </w:r>
          </w:p>
        </w:tc>
      </w:tr>
      <w:tr>
        <w:trPr>
          <w:trHeight w:val="20"/>
        </w:trPr>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foreign exchange gain (loss)</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(963)</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(1,839)</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(4,108)</w:t>
            </w: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finance income (expense)</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(1,424)</w:t>
            </w: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-1585595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-1585595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-1585595</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-736600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-736600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expense comprises current tax and deferred tax.</w:t>
      </w:r>
    </w:p>
    <w:p>
      <w:pPr>
        <w:spacing w:after="0" w:line="198"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Current tax is based on taxable profit for the period and is measured using tax rates and laws enacted or substantively enacted at the reporting date in the jurisdictions in which Opera operates. Management periodically evaluates positions taken in tax returns with respect to situations in which applicable tax regulation is subject to interpretation, and considers whether it is probable that a taxation authority will accept an uncertain tax treatment. Opera measures its tax balances based on either the most likely amount or the expected value, depending on which method provides a better prediction of the resolution of the uncertainty.</w:t>
      </w:r>
    </w:p>
    <w:p>
      <w:pPr>
        <w:spacing w:after="0" w:line="143"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Deferred tax is recognized using the liability method on temporary differences between the tax bases of assets and liabilities and their carrying amounts in the consolidated financial statements. Deferred tax is measured using tax rates enacted or substantially enacted at the reporting date and reflects the expected manner of realization or settlement of the underlying items.</w:t>
      </w:r>
    </w:p>
    <w:p>
      <w:pPr>
        <w:spacing w:after="0" w:line="135"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Deferred tax assets are recognized only to the extent that it is probable that future taxable profits will be available against which the deductible temporary differences, unused tax losses or tax credits can be utilized. Where an entity has a history of recent losses, deferred tax assets are recognized only to the extent of sufficient taxable temporary differences or other convincing evidence that sufficient taxable profit will be available.</w:t>
      </w:r>
    </w:p>
    <w:p>
      <w:pPr>
        <w:spacing w:after="0" w:line="149"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Deferred tax assets and liabilities are offset when there is a legally enforceable right to offset current tax assets and liabilities and they relate to income taxes levied by the same tax authority on the same taxable entity, or on different tax entities that intend to settle current tax balances on a net basis or realize the assets and settle the liabilities simultaneously.</w:t>
      </w:r>
    </w:p>
    <w:p>
      <w:pPr>
        <w:spacing w:after="0" w:line="135"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Tax deductions from equity-settled share-awards are based on the fair value of the underlying shares at the date of exercise. For awards not yet exercised, the estimated future tax deduction is based on the share price at the reporting date. Any excess of the actual or estimated tax deduction over the related cumulative share-based compensation expense, determined on a grant-by-grant basis, is recognized directly in equity and presented within the cost of equity awards in the Statement of Changes in Equity.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Pillar Two Rules</w:t>
      </w:r>
    </w:p>
    <w:p>
      <w:pPr>
        <w:spacing w:after="0" w:line="202" w:lineRule="exact"/>
        <w:rPr>
          <w:sz w:val="20"/>
          <w:szCs w:val="20"/>
          <w:color w:val="auto"/>
        </w:rPr>
      </w:pPr>
    </w:p>
    <w:p>
      <w:pPr>
        <w:ind w:right="720" w:firstLine="374"/>
        <w:spacing w:after="0" w:line="282" w:lineRule="auto"/>
        <w:rPr>
          <w:sz w:val="20"/>
          <w:szCs w:val="20"/>
          <w:color w:val="auto"/>
        </w:rPr>
      </w:pPr>
      <w:r>
        <w:rPr>
          <w:rFonts w:ascii="Times New Roman" w:cs="Times New Roman" w:eastAsia="Times New Roman" w:hAnsi="Times New Roman"/>
          <w:sz w:val="18"/>
          <w:szCs w:val="18"/>
          <w:color w:val="auto"/>
        </w:rPr>
        <w:t>The OECD’s Pillar Two model rules establish a global minimum tax framework designed to ensure that multinational enterprise groups with consolidated annual revenues of at least €750 million are subject to a minimum effective tax rate of 15% in each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in which they operate. Opera is within the scope of the Pillar Two rules because its parent company, Kunlun, meets this revenue threshold.</w:t>
      </w:r>
    </w:p>
    <w:p>
      <w:pPr>
        <w:spacing w:after="0" w:line="198"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The Pillar Two framework includes (i) the Income Inclusion Rule (“IIR”), under which a parent entity may be required to pay a top-up tax on low-taxed income of group entities, (ii) the Undertaxed Profits Rule (“UTPR”), which acts as a backstop where the IIR does not apply, and (iii) the Qualified Domestic Minimum Top-up Tax (“QDMTT”), which allows jurisdictions to impose a domestic top-up tax on in-scope entities. Primary responsibility for any top-up tax under the IIR rests with Opera’s immediate parent in Hong Kong, which adopted the IIR and QDMTT with effect from the 2025 fiscal year. In addition, certain jurisdictions in which Opera operates have implemented QDMTT regimes.</w:t>
      </w:r>
    </w:p>
    <w:p>
      <w:pPr>
        <w:spacing w:after="0" w:line="143" w:lineRule="exact"/>
        <w:rPr>
          <w:sz w:val="20"/>
          <w:szCs w:val="20"/>
          <w:color w:val="auto"/>
        </w:rPr>
      </w:pPr>
    </w:p>
    <w:p>
      <w:pPr>
        <w:ind w:right="340" w:firstLine="374"/>
        <w:spacing w:after="0" w:line="261" w:lineRule="auto"/>
        <w:rPr>
          <w:sz w:val="20"/>
          <w:szCs w:val="20"/>
          <w:color w:val="auto"/>
        </w:rPr>
      </w:pPr>
      <w:r>
        <w:rPr>
          <w:rFonts w:ascii="Times New Roman" w:cs="Times New Roman" w:eastAsia="Times New Roman" w:hAnsi="Times New Roman"/>
          <w:sz w:val="18"/>
          <w:szCs w:val="18"/>
          <w:color w:val="auto"/>
        </w:rPr>
        <w:t>Opera has material operations in Norway, Ireland, Singapore, Poland, Sweden, Nigeria, China and Brazil. As of December 31, 2025, Pillar Two legislation had been enacted in all of these jurisdictions except Nigeria and China. For the year ended December 31, 2025, Opera’s effective tax rate exceeded the 15% minimum rate in all jurisdictions except Ireland and Brazil. In those jurisdictions, domestic top-up taxes of $0.9 million in aggregate were recognized as current income tax expense.</w:t>
      </w:r>
    </w:p>
    <w:p>
      <w:pPr>
        <w:spacing w:after="0" w:line="13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In accordance with IAS 12, Opera has applied the mandatory temporary exception from recognizing and disclosing deferred tax assets and liabilities related to Pillar Two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the components of the income tax expense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income taxes</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8"/>
              </w:rPr>
              <w:t>(7,227)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(10,757)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(18,950)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(6,884)</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8"/>
              </w:rPr>
              <w:t>(6,697)</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(17,642)</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(16,934)</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Opera Limited, the Parent of the Group, is incorporated in the Cayman Islands, which does not levy corporate income tax. As Opera is headquartered in Norway and a significant portion of its taxable income is generated by Opera Norway AS, a Norwegian subsidiary, the reconciliation below compares income tax expense calculated at the Norwegian statutory corporate income tax rate of 22% with Opera’s reported income tax expense (in thousands, except for percentages):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right"/>
              <w:ind w:right="785"/>
              <w:spacing w:after="0" w:line="142" w:lineRule="exact"/>
              <w:rPr>
                <w:sz w:val="20"/>
                <w:szCs w:val="20"/>
                <w:color w:val="auto"/>
              </w:rPr>
            </w:pPr>
            <w:r>
              <w:rPr>
                <w:rFonts w:ascii="Times New Roman" w:cs="Times New Roman" w:eastAsia="Times New Roman" w:hAnsi="Times New Roman"/>
                <w:sz w:val="13"/>
                <w:szCs w:val="13"/>
                <w:b w:val="1"/>
                <w:bCs w:val="1"/>
                <w:color w:val="auto"/>
              </w:rPr>
              <w:t>2023</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tcPr>
          <w:p>
            <w:pPr>
              <w:jc w:val="right"/>
              <w:ind w:right="785"/>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ind w:right="805"/>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25"/>
              <w:spacing w:after="0" w:line="115"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jc w:val="right"/>
              <w:ind w:right="45"/>
              <w:spacing w:after="0" w:line="115"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right"/>
              <w:ind w:right="45"/>
              <w:spacing w:after="0" w:line="115"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185"/>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205"/>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ind w:right="205"/>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Rate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Income before income taxes</w:t>
            </w: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159,997</w:t>
            </w:r>
          </w:p>
        </w:tc>
        <w:tc>
          <w:tcPr>
            <w:tcW w:w="2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98,412</w:t>
            </w: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125,216</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Tax using the Norwegian tax rate of 22%</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(35,199)</w:t>
            </w:r>
          </w:p>
        </w:tc>
        <w:tc>
          <w:tcPr>
            <w:tcW w:w="11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22.0%</w:t>
            </w: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(21,651)</w:t>
            </w:r>
          </w:p>
        </w:tc>
        <w:tc>
          <w:tcPr>
            <w:tcW w:w="11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22.0%</w:t>
            </w:r>
          </w:p>
        </w:tc>
        <w:tc>
          <w:tcPr>
            <w:tcW w:w="120" w:type="dxa"/>
            <w:vAlign w:val="bottom"/>
          </w:tcPr>
          <w:p>
            <w:pPr>
              <w:spacing w:after="0"/>
              <w:rPr>
                <w:sz w:val="14"/>
                <w:szCs w:val="14"/>
                <w:color w:val="auto"/>
              </w:rPr>
            </w:pPr>
          </w:p>
        </w:tc>
        <w:tc>
          <w:tcPr>
            <w:tcW w:w="9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(27,548)</w:t>
            </w:r>
          </w:p>
        </w:tc>
        <w:tc>
          <w:tcPr>
            <w:tcW w:w="110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22.0%</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Differences between computed tax rate and effective tax rate due to:</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Different tax rates of subsidiaries operating in other jurisdictions</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5,346</w:t>
            </w:r>
          </w:p>
        </w:tc>
        <w:tc>
          <w:tcPr>
            <w:tcW w:w="220" w:type="dxa"/>
            <w:vAlign w:val="bottom"/>
          </w:tcPr>
          <w:p>
            <w:pPr>
              <w:spacing w:after="0"/>
              <w:rPr>
                <w:sz w:val="14"/>
                <w:szCs w:val="14"/>
                <w:color w:val="auto"/>
              </w:rPr>
            </w:pPr>
          </w:p>
        </w:tc>
        <w:tc>
          <w:tcPr>
            <w:tcW w:w="1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7,945</w:t>
            </w:r>
          </w:p>
        </w:tc>
        <w:tc>
          <w:tcPr>
            <w:tcW w:w="220" w:type="dxa"/>
            <w:vAlign w:val="bottom"/>
          </w:tcPr>
          <w:p>
            <w:pPr>
              <w:spacing w:after="0"/>
              <w:rPr>
                <w:sz w:val="14"/>
                <w:szCs w:val="14"/>
                <w:color w:val="auto"/>
              </w:rPr>
            </w:pPr>
          </w:p>
        </w:tc>
        <w:tc>
          <w:tcPr>
            <w:tcW w:w="1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(8.1)</w:t>
            </w: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8,738</w:t>
            </w:r>
          </w:p>
        </w:tc>
        <w:tc>
          <w:tcPr>
            <w:tcW w:w="200" w:type="dxa"/>
            <w:vAlign w:val="bottom"/>
          </w:tcPr>
          <w:p>
            <w:pPr>
              <w:spacing w:after="0"/>
              <w:rPr>
                <w:sz w:val="14"/>
                <w:szCs w:val="14"/>
                <w:color w:val="auto"/>
              </w:rPr>
            </w:pPr>
          </w:p>
        </w:tc>
        <w:tc>
          <w:tcPr>
            <w:tcW w:w="11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(7.0)</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Pillar Two top-up taxes</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(939)</w:t>
            </w: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Changes in tax rates</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11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w:t>
            </w:r>
          </w:p>
        </w:tc>
        <w:tc>
          <w:tcPr>
            <w:tcW w:w="220" w:type="dxa"/>
            <w:vAlign w:val="bottom"/>
          </w:tcPr>
          <w:p>
            <w:pPr>
              <w:spacing w:after="0"/>
              <w:rPr>
                <w:sz w:val="14"/>
                <w:szCs w:val="14"/>
                <w:color w:val="auto"/>
              </w:rPr>
            </w:pPr>
          </w:p>
        </w:tc>
        <w:tc>
          <w:tcPr>
            <w:tcW w:w="118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(8)</w:t>
            </w:r>
          </w:p>
        </w:tc>
        <w:tc>
          <w:tcPr>
            <w:tcW w:w="11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Non-deductible expenses</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(4,588)</w:t>
            </w: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2.9</w:t>
            </w:r>
          </w:p>
        </w:tc>
        <w:tc>
          <w:tcPr>
            <w:tcW w:w="26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(3,861)</w:t>
            </w: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(4,831)</w:t>
            </w: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Tax-exempt income</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23,149</w:t>
            </w:r>
          </w:p>
        </w:tc>
        <w:tc>
          <w:tcPr>
            <w:tcW w:w="220" w:type="dxa"/>
            <w:vAlign w:val="bottom"/>
          </w:tcPr>
          <w:p>
            <w:pPr>
              <w:spacing w:after="0"/>
              <w:rPr>
                <w:sz w:val="14"/>
                <w:szCs w:val="14"/>
                <w:color w:val="auto"/>
              </w:rPr>
            </w:pPr>
          </w:p>
        </w:tc>
        <w:tc>
          <w:tcPr>
            <w:tcW w:w="1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(14.5)</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2,986</w:t>
            </w:r>
          </w:p>
        </w:tc>
        <w:tc>
          <w:tcPr>
            <w:tcW w:w="220" w:type="dxa"/>
            <w:vAlign w:val="bottom"/>
          </w:tcPr>
          <w:p>
            <w:pPr>
              <w:spacing w:after="0"/>
              <w:rPr>
                <w:sz w:val="14"/>
                <w:szCs w:val="14"/>
                <w:color w:val="auto"/>
              </w:rPr>
            </w:pPr>
          </w:p>
        </w:tc>
        <w:tc>
          <w:tcPr>
            <w:tcW w:w="1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8,399</w:t>
            </w:r>
          </w:p>
        </w:tc>
        <w:tc>
          <w:tcPr>
            <w:tcW w:w="200" w:type="dxa"/>
            <w:vAlign w:val="bottom"/>
          </w:tcPr>
          <w:p>
            <w:pPr>
              <w:spacing w:after="0"/>
              <w:rPr>
                <w:sz w:val="14"/>
                <w:szCs w:val="14"/>
                <w:color w:val="auto"/>
              </w:rPr>
            </w:pPr>
          </w:p>
        </w:tc>
        <w:tc>
          <w:tcPr>
            <w:tcW w:w="11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(6.7)</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Foreign withholding taxes</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270</w:t>
            </w:r>
          </w:p>
        </w:tc>
        <w:tc>
          <w:tcPr>
            <w:tcW w:w="220" w:type="dxa"/>
            <w:vAlign w:val="bottom"/>
            <w:shd w:val="clear" w:color="auto" w:fill="CFF0FC"/>
          </w:tcPr>
          <w:p>
            <w:pPr>
              <w:spacing w:after="0"/>
              <w:rPr>
                <w:sz w:val="14"/>
                <w:szCs w:val="14"/>
                <w:color w:val="auto"/>
              </w:rPr>
            </w:pPr>
          </w:p>
        </w:tc>
        <w:tc>
          <w:tcPr>
            <w:tcW w:w="1180" w:type="dxa"/>
            <w:vAlign w:val="bottom"/>
            <w:tcBorders>
              <w:right w:val="single" w:sz="8" w:color="CFF0FC"/>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(0.2)</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(138)</w:t>
            </w:r>
          </w:p>
        </w:tc>
        <w:tc>
          <w:tcPr>
            <w:tcW w:w="9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10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Recognition and derecognition of deferred tax assets</w:t>
            </w:r>
          </w:p>
        </w:tc>
        <w:tc>
          <w:tcPr>
            <w:tcW w:w="12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4,848</w:t>
            </w:r>
          </w:p>
        </w:tc>
        <w:tc>
          <w:tcPr>
            <w:tcW w:w="220" w:type="dxa"/>
            <w:vAlign w:val="bottom"/>
          </w:tcPr>
          <w:p>
            <w:pPr>
              <w:spacing w:after="0"/>
              <w:rPr>
                <w:sz w:val="14"/>
                <w:szCs w:val="14"/>
                <w:color w:val="auto"/>
              </w:rPr>
            </w:pPr>
          </w:p>
        </w:tc>
        <w:tc>
          <w:tcPr>
            <w:tcW w:w="118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(3.0)</w:t>
            </w: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(1,554)</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482</w:t>
            </w:r>
          </w:p>
        </w:tc>
        <w:tc>
          <w:tcPr>
            <w:tcW w:w="200" w:type="dxa"/>
            <w:vAlign w:val="bottom"/>
          </w:tcPr>
          <w:p>
            <w:pPr>
              <w:spacing w:after="0"/>
              <w:rPr>
                <w:sz w:val="14"/>
                <w:szCs w:val="14"/>
                <w:color w:val="auto"/>
              </w:rPr>
            </w:pPr>
          </w:p>
        </w:tc>
        <w:tc>
          <w:tcPr>
            <w:tcW w:w="110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(0.4)</w:t>
            </w:r>
          </w:p>
        </w:tc>
        <w:tc>
          <w:tcPr>
            <w:tcW w:w="0" w:type="dxa"/>
            <w:vAlign w:val="bottom"/>
          </w:tcPr>
          <w:p>
            <w:pPr>
              <w:spacing w:after="0"/>
              <w:rPr>
                <w:sz w:val="1"/>
                <w:szCs w:val="1"/>
                <w:color w:val="auto"/>
              </w:rPr>
            </w:pPr>
          </w:p>
        </w:tc>
      </w:tr>
      <w:tr>
        <w:trPr>
          <w:trHeight w:val="162"/>
        </w:trPr>
        <w:tc>
          <w:tcPr>
            <w:tcW w:w="4660" w:type="dxa"/>
            <w:vAlign w:val="bottom"/>
            <w:shd w:val="clear" w:color="auto" w:fill="CFF0FC"/>
          </w:tcPr>
          <w:p>
            <w:pPr>
              <w:ind w:left="100"/>
              <w:spacing w:after="0" w:line="162" w:lineRule="exact"/>
              <w:rPr>
                <w:sz w:val="20"/>
                <w:szCs w:val="20"/>
                <w:color w:val="auto"/>
              </w:rPr>
            </w:pPr>
            <w:r>
              <w:rPr>
                <w:rFonts w:ascii="Times New Roman" w:cs="Times New Roman" w:eastAsia="Times New Roman" w:hAnsi="Times New Roman"/>
                <w:sz w:val="15"/>
                <w:szCs w:val="15"/>
                <w:color w:val="auto"/>
              </w:rPr>
              <w:t>Changes in estimates related to prior years</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(67)</w:t>
            </w:r>
          </w:p>
        </w:tc>
        <w:tc>
          <w:tcPr>
            <w:tcW w:w="1180" w:type="dxa"/>
            <w:vAlign w:val="bottom"/>
            <w:tcBorders>
              <w:right w:val="single" w:sz="8" w:color="CFF0FC"/>
            </w:tcBorders>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48</w:t>
            </w:r>
          </w:p>
        </w:tc>
        <w:tc>
          <w:tcPr>
            <w:tcW w:w="220" w:type="dxa"/>
            <w:vAlign w:val="bottom"/>
            <w:shd w:val="clear" w:color="auto" w:fill="CFF0FC"/>
          </w:tcPr>
          <w:p>
            <w:pPr>
              <w:spacing w:after="0"/>
              <w:rPr>
                <w:sz w:val="14"/>
                <w:szCs w:val="14"/>
                <w:color w:val="auto"/>
              </w:rPr>
            </w:pPr>
          </w:p>
        </w:tc>
        <w:tc>
          <w:tcPr>
            <w:tcW w:w="118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(503)</w:t>
            </w:r>
          </w:p>
        </w:tc>
        <w:tc>
          <w:tcPr>
            <w:tcW w:w="9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0.4</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Movements in exchange rates</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(391)</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(1,419)</w:t>
            </w:r>
          </w:p>
        </w:tc>
        <w:tc>
          <w:tcPr>
            <w:tcW w:w="9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22"/>
              <w:spacing w:after="0" w:line="162" w:lineRule="exact"/>
              <w:rPr>
                <w:sz w:val="20"/>
                <w:szCs w:val="20"/>
                <w:color w:val="auto"/>
              </w:rPr>
            </w:pPr>
            <w:r>
              <w:rPr>
                <w:rFonts w:ascii="Times New Roman" w:cs="Times New Roman" w:eastAsia="Times New Roman" w:hAnsi="Times New Roman"/>
                <w:sz w:val="15"/>
                <w:szCs w:val="15"/>
                <w:color w:val="auto"/>
              </w:rPr>
              <w:t>(718)</w:t>
            </w: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Income tax expense at effective tax rate</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66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(6,697)</w:t>
            </w:r>
          </w:p>
        </w:tc>
        <w:tc>
          <w:tcPr>
            <w:tcW w:w="220" w:type="dxa"/>
            <w:vAlign w:val="bottom"/>
            <w:vMerge w:val="continue"/>
            <w:shd w:val="clear" w:color="auto" w:fill="CFF0FC"/>
          </w:tcPr>
          <w:p>
            <w:pPr>
              <w:spacing w:after="0"/>
              <w:rPr>
                <w:sz w:val="15"/>
                <w:szCs w:val="15"/>
                <w:color w:val="auto"/>
              </w:rPr>
            </w:pPr>
          </w:p>
        </w:tc>
        <w:tc>
          <w:tcPr>
            <w:tcW w:w="1180" w:type="dxa"/>
            <w:vAlign w:val="bottom"/>
            <w:tcBorders>
              <w:right w:val="single" w:sz="8" w:color="CFF0FC"/>
            </w:tcBorders>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4.2%</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(17,642</w:t>
            </w:r>
          </w:p>
        </w:tc>
        <w:tc>
          <w:tcPr>
            <w:tcW w:w="220" w:type="dxa"/>
            <w:vAlign w:val="bottom"/>
            <w:vMerge w:val="continue"/>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line="156" w:lineRule="exact"/>
              <w:rPr>
                <w:sz w:val="20"/>
                <w:szCs w:val="20"/>
                <w:color w:val="auto"/>
              </w:rPr>
            </w:pPr>
            <w:r>
              <w:rPr>
                <w:rFonts w:ascii="Times New Roman" w:cs="Times New Roman" w:eastAsia="Times New Roman" w:hAnsi="Times New Roman"/>
                <w:sz w:val="15"/>
                <w:szCs w:val="15"/>
                <w:color w:val="auto"/>
              </w:rPr>
              <w:t>17.9%</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(16,934</w:t>
            </w:r>
          </w:p>
        </w:tc>
        <w:tc>
          <w:tcPr>
            <w:tcW w:w="200" w:type="dxa"/>
            <w:vAlign w:val="bottom"/>
            <w:vMerge w:val="continue"/>
            <w:shd w:val="clear" w:color="auto" w:fill="CFF0FC"/>
          </w:tcPr>
          <w:p>
            <w:pPr>
              <w:spacing w:after="0"/>
              <w:rPr>
                <w:sz w:val="15"/>
                <w:szCs w:val="15"/>
                <w:color w:val="auto"/>
              </w:rPr>
            </w:pPr>
          </w:p>
        </w:tc>
        <w:tc>
          <w:tcPr>
            <w:tcW w:w="1100" w:type="dxa"/>
            <w:vAlign w:val="bottom"/>
            <w:gridSpan w:val="2"/>
            <w:shd w:val="clear" w:color="auto" w:fill="CFF0FC"/>
          </w:tcPr>
          <w:p>
            <w:pPr>
              <w:jc w:val="right"/>
              <w:ind w:right="20"/>
              <w:spacing w:after="0" w:line="156" w:lineRule="exact"/>
              <w:rPr>
                <w:sz w:val="20"/>
                <w:szCs w:val="20"/>
                <w:color w:val="auto"/>
              </w:rPr>
            </w:pPr>
            <w:r>
              <w:rPr>
                <w:rFonts w:ascii="Times New Roman" w:cs="Times New Roman" w:eastAsia="Times New Roman" w:hAnsi="Times New Roman"/>
                <w:sz w:val="15"/>
                <w:szCs w:val="15"/>
                <w:color w:val="auto"/>
              </w:rPr>
              <w:t>13.5%</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-24765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-7620</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-136525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939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939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-136525</wp:posOffset>
            </wp:positionV>
            <wp:extent cx="939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-136525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939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93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-136525</wp:posOffset>
            </wp:positionV>
            <wp:extent cx="939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-136525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-136525</wp:posOffset>
            </wp:positionV>
            <wp:extent cx="939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Percentages have been rounded for presentation purposes and may differ from unrounded results.</w:t>
      </w:r>
    </w:p>
    <w:p>
      <w:pPr>
        <w:spacing w:after="0" w:line="175" w:lineRule="exact"/>
        <w:rPr>
          <w:rFonts w:ascii="Times New Roman" w:cs="Times New Roman" w:eastAsia="Times New Roman" w:hAnsi="Times New Roman"/>
          <w:sz w:val="16"/>
          <w:szCs w:val="16"/>
          <w:color w:val="auto"/>
        </w:rPr>
      </w:pPr>
    </w:p>
    <w:p>
      <w:pPr>
        <w:ind w:left="5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a reconciliation of deferred taxes by type of temporary differences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Intra-group</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Property</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Tax Losses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and</w:t>
            </w:r>
          </w:p>
        </w:tc>
        <w:tc>
          <w:tcPr>
            <w:tcW w:w="80" w:type="dxa"/>
            <w:vAlign w:val="bottom"/>
          </w:tcPr>
          <w:p>
            <w:pPr>
              <w:spacing w:after="0"/>
              <w:rPr>
                <w:sz w:val="12"/>
                <w:szCs w:val="12"/>
                <w:color w:val="auto"/>
              </w:rPr>
            </w:pPr>
          </w:p>
        </w:tc>
        <w:tc>
          <w:tcPr>
            <w:tcW w:w="980" w:type="dxa"/>
            <w:vAlign w:val="bottom"/>
            <w:gridSpan w:val="3"/>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Intangible</w:t>
            </w:r>
          </w:p>
        </w:tc>
        <w:tc>
          <w:tcPr>
            <w:tcW w:w="100" w:type="dxa"/>
            <w:vAlign w:val="bottom"/>
          </w:tcPr>
          <w:p>
            <w:pPr>
              <w:spacing w:after="0"/>
              <w:rPr>
                <w:sz w:val="12"/>
                <w:szCs w:val="12"/>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Trade</w:t>
            </w:r>
          </w:p>
        </w:tc>
        <w:tc>
          <w:tcPr>
            <w:tcW w:w="120" w:type="dxa"/>
            <w:vAlign w:val="bottom"/>
          </w:tcPr>
          <w:p>
            <w:pPr>
              <w:spacing w:after="0"/>
              <w:rPr>
                <w:sz w:val="12"/>
                <w:szCs w:val="12"/>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Carried</w:t>
            </w:r>
          </w:p>
        </w:tc>
        <w:tc>
          <w:tcPr>
            <w:tcW w:w="10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Carried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500" w:type="dxa"/>
            <w:vAlign w:val="bottom"/>
          </w:tcPr>
          <w:p>
            <w:pPr>
              <w:spacing w:after="0"/>
              <w:rPr>
                <w:sz w:val="14"/>
                <w:szCs w:val="14"/>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Receivables</w:t>
            </w:r>
          </w:p>
        </w:tc>
        <w:tc>
          <w:tcPr>
            <w:tcW w:w="12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Forward</w:t>
            </w: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Forward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4"/>
                <w:szCs w:val="14"/>
                <w:color w:val="auto"/>
              </w:rPr>
            </w:pPr>
          </w:p>
        </w:tc>
        <w:tc>
          <w:tcPr>
            <w:tcW w:w="700" w:type="dxa"/>
            <w:vAlign w:val="bottom"/>
            <w:gridSpan w:val="2"/>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4"/>
        </w:trPr>
        <w:tc>
          <w:tcPr>
            <w:tcW w:w="35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Net deferred tax asset (liability) as of January 1,</w:t>
            </w:r>
          </w:p>
        </w:tc>
        <w:tc>
          <w:tcPr>
            <w:tcW w:w="8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(38)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(19,978)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4,094</w:t>
            </w: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7,648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5,247</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979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5"/>
                <w:szCs w:val="15"/>
                <w:color w:val="auto"/>
              </w:rPr>
              <w:t>(1,679)</w:t>
            </w:r>
          </w:p>
        </w:tc>
        <w:tc>
          <w:tcPr>
            <w:tcW w:w="0" w:type="dxa"/>
            <w:vAlign w:val="bottom"/>
          </w:tcPr>
          <w:p>
            <w:pPr>
              <w:spacing w:after="0"/>
              <w:rPr>
                <w:sz w:val="1"/>
                <w:szCs w:val="1"/>
                <w:color w:val="auto"/>
              </w:rPr>
            </w:pPr>
          </w:p>
        </w:tc>
      </w:tr>
      <w:tr>
        <w:trPr>
          <w:trHeight w:val="145"/>
        </w:trPr>
        <w:tc>
          <w:tcPr>
            <w:tcW w:w="3500" w:type="dxa"/>
            <w:vAlign w:val="bottom"/>
          </w:tcPr>
          <w:p>
            <w:pPr>
              <w:ind w:left="80"/>
              <w:spacing w:after="0" w:line="145" w:lineRule="exact"/>
              <w:rPr>
                <w:sz w:val="20"/>
                <w:szCs w:val="20"/>
                <w:color w:val="auto"/>
              </w:rPr>
            </w:pPr>
            <w:r>
              <w:rPr>
                <w:rFonts w:ascii="Times New Roman" w:cs="Times New Roman" w:eastAsia="Times New Roman" w:hAnsi="Times New Roman"/>
                <w:sz w:val="15"/>
                <w:szCs w:val="15"/>
                <w:color w:val="auto"/>
              </w:rPr>
              <w:t>Income (expense) recognized in the Statement of</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Operations</w:t>
            </w:r>
          </w:p>
        </w:tc>
        <w:tc>
          <w:tcPr>
            <w:tcW w:w="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(1,188)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(346)</w:t>
            </w:r>
          </w:p>
        </w:tc>
        <w:tc>
          <w:tcPr>
            <w:tcW w:w="12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(401)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(1,497)</w:t>
            </w:r>
          </w:p>
        </w:tc>
        <w:tc>
          <w:tcPr>
            <w:tcW w:w="1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(4,081)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5"/>
                <w:szCs w:val="15"/>
                <w:color w:val="auto"/>
              </w:rPr>
              <w:t>(6,884)</w:t>
            </w:r>
          </w:p>
        </w:tc>
        <w:tc>
          <w:tcPr>
            <w:tcW w:w="0" w:type="dxa"/>
            <w:vAlign w:val="bottom"/>
          </w:tcPr>
          <w:p>
            <w:pPr>
              <w:spacing w:after="0"/>
              <w:rPr>
                <w:sz w:val="1"/>
                <w:szCs w:val="1"/>
                <w:color w:val="auto"/>
              </w:rPr>
            </w:pPr>
          </w:p>
        </w:tc>
      </w:tr>
      <w:tr>
        <w:trPr>
          <w:trHeight w:val="145"/>
        </w:trPr>
        <w:tc>
          <w:tcPr>
            <w:tcW w:w="3500" w:type="dxa"/>
            <w:vAlign w:val="bottom"/>
            <w:shd w:val="clear" w:color="auto" w:fill="CFF0FC"/>
          </w:tcPr>
          <w:p>
            <w:pPr>
              <w:ind w:left="80"/>
              <w:spacing w:after="0" w:line="145" w:lineRule="exact"/>
              <w:rPr>
                <w:sz w:val="20"/>
                <w:szCs w:val="20"/>
                <w:color w:val="auto"/>
              </w:rPr>
            </w:pPr>
            <w:r>
              <w:rPr>
                <w:rFonts w:ascii="Times New Roman" w:cs="Times New Roman" w:eastAsia="Times New Roman" w:hAnsi="Times New Roman"/>
                <w:sz w:val="15"/>
                <w:szCs w:val="15"/>
                <w:color w:val="auto"/>
              </w:rPr>
              <w:t>Expense recognized in the Statement of</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(55)</w:t>
            </w:r>
          </w:p>
        </w:tc>
        <w:tc>
          <w:tcPr>
            <w:tcW w:w="1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42"/>
              <w:spacing w:after="0"/>
              <w:rPr>
                <w:sz w:val="20"/>
                <w:szCs w:val="20"/>
                <w:color w:val="auto"/>
              </w:rPr>
            </w:pPr>
            <w:r>
              <w:rPr>
                <w:rFonts w:ascii="Times New Roman" w:cs="Times New Roman" w:eastAsia="Times New Roman" w:hAnsi="Times New Roman"/>
                <w:sz w:val="15"/>
                <w:szCs w:val="15"/>
                <w:color w:val="auto"/>
              </w:rPr>
              <w:t>(55)</w:t>
            </w:r>
          </w:p>
        </w:tc>
        <w:tc>
          <w:tcPr>
            <w:tcW w:w="0" w:type="dxa"/>
            <w:vAlign w:val="bottom"/>
          </w:tcPr>
          <w:p>
            <w:pPr>
              <w:spacing w:after="0"/>
              <w:rPr>
                <w:sz w:val="1"/>
                <w:szCs w:val="1"/>
                <w:color w:val="auto"/>
              </w:rPr>
            </w:pPr>
          </w:p>
        </w:tc>
      </w:tr>
      <w:tr>
        <w:trPr>
          <w:trHeight w:val="162"/>
        </w:trPr>
        <w:tc>
          <w:tcPr>
            <w:tcW w:w="35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tax benefit recognized in equity</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993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5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Net deferred tax asset (liability) as of December 31,</w:t>
            </w:r>
          </w:p>
        </w:tc>
        <w:tc>
          <w:tcPr>
            <w:tcW w:w="80" w:type="dxa"/>
            <w:vAlign w:val="bottom"/>
            <w:shd w:val="clear" w:color="auto" w:fill="CFF0FC"/>
          </w:tcPr>
          <w:p>
            <w:pPr>
              <w:spacing w:after="0"/>
              <w:rPr>
                <w:sz w:val="11"/>
                <w:szCs w:val="11"/>
                <w:color w:val="auto"/>
              </w:rPr>
            </w:pPr>
          </w:p>
        </w:tc>
        <w:tc>
          <w:tcPr>
            <w:tcW w:w="8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5"/>
                <w:szCs w:val="15"/>
                <w:color w:val="auto"/>
              </w:rPr>
              <w:t>(1,226)</w:t>
            </w: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rPr>
              <w:t>(19,410)</w:t>
            </w:r>
          </w:p>
        </w:tc>
        <w:tc>
          <w:tcPr>
            <w:tcW w:w="10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4,686</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6,151</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985</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5"/>
                <w:szCs w:val="15"/>
                <w:color w:val="auto"/>
              </w:rPr>
              <w:t>(7,626)</w:t>
            </w:r>
          </w:p>
        </w:tc>
        <w:tc>
          <w:tcPr>
            <w:tcW w:w="0" w:type="dxa"/>
            <w:vAlign w:val="bottom"/>
          </w:tcPr>
          <w:p>
            <w:pPr>
              <w:spacing w:after="0"/>
              <w:rPr>
                <w:sz w:val="1"/>
                <w:szCs w:val="1"/>
                <w:color w:val="auto"/>
              </w:rPr>
            </w:pPr>
          </w:p>
        </w:tc>
      </w:tr>
      <w:tr>
        <w:trPr>
          <w:trHeight w:val="170"/>
        </w:trPr>
        <w:tc>
          <w:tcPr>
            <w:tcW w:w="350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500" w:type="dxa"/>
            <w:vAlign w:val="bottom"/>
            <w:tcBorders>
              <w:top w:val="single" w:sz="8" w:color="CFF0FC"/>
            </w:tcBorders>
          </w:tcPr>
          <w:p>
            <w:pPr>
              <w:ind w:left="80"/>
              <w:spacing w:after="0" w:line="138" w:lineRule="exact"/>
              <w:rPr>
                <w:sz w:val="20"/>
                <w:szCs w:val="20"/>
                <w:color w:val="auto"/>
              </w:rPr>
            </w:pPr>
            <w:r>
              <w:rPr>
                <w:rFonts w:ascii="Times New Roman" w:cs="Times New Roman" w:eastAsia="Times New Roman" w:hAnsi="Times New Roman"/>
                <w:sz w:val="15"/>
                <w:szCs w:val="15"/>
                <w:color w:val="auto"/>
              </w:rPr>
              <w:t>Income (expense) recognized in the Statement of</w:t>
            </w: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5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Operations</w:t>
            </w:r>
          </w:p>
        </w:tc>
        <w:tc>
          <w:tcPr>
            <w:tcW w:w="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(864)</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500" w:type="dxa"/>
            <w:vAlign w:val="bottom"/>
            <w:shd w:val="clear" w:color="auto" w:fill="CFF0FC"/>
          </w:tcPr>
          <w:p>
            <w:pPr>
              <w:ind w:left="80"/>
              <w:spacing w:after="0" w:line="145" w:lineRule="exact"/>
              <w:rPr>
                <w:sz w:val="20"/>
                <w:szCs w:val="20"/>
                <w:color w:val="auto"/>
              </w:rPr>
            </w:pPr>
            <w:r>
              <w:rPr>
                <w:rFonts w:ascii="Times New Roman" w:cs="Times New Roman" w:eastAsia="Times New Roman" w:hAnsi="Times New Roman"/>
                <w:sz w:val="15"/>
                <w:szCs w:val="15"/>
                <w:color w:val="auto"/>
              </w:rPr>
              <w:t>Expense recognized in the Statement of</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5"/>
                <w:szCs w:val="15"/>
                <w:color w:val="auto"/>
              </w:rPr>
              <w:t>Comprehensive Income</w:t>
            </w:r>
          </w:p>
        </w:tc>
        <w:tc>
          <w:tcPr>
            <w:tcW w:w="8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Deferred tax benefit recognized in equity</w:t>
            </w: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(2,105)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42"/>
              <w:spacing w:after="0" w:line="162" w:lineRule="exact"/>
              <w:rPr>
                <w:sz w:val="20"/>
                <w:szCs w:val="20"/>
                <w:color w:val="auto"/>
              </w:rPr>
            </w:pPr>
            <w:r>
              <w:rPr>
                <w:rFonts w:ascii="Times New Roman" w:cs="Times New Roman" w:eastAsia="Times New Roman" w:hAnsi="Times New Roman"/>
                <w:sz w:val="15"/>
                <w:szCs w:val="15"/>
                <w:color w:val="auto"/>
              </w:rPr>
              <w:t>(2,105)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5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b w:val="1"/>
                <w:bCs w:val="1"/>
                <w:color w:val="auto"/>
              </w:rPr>
              <w:t>Net deferred tax asset (liability) as of December 31,</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(1,870)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(18,842</w:t>
            </w:r>
          </w:p>
        </w:tc>
        <w:tc>
          <w:tcPr>
            <w:tcW w:w="220" w:type="dxa"/>
            <w:vAlign w:val="bottom"/>
            <w:vMerge w:val="restart"/>
            <w:shd w:val="clear" w:color="auto" w:fill="CFF0FC"/>
          </w:tcPr>
          <w:p>
            <w:pPr>
              <w:jc w:val="right"/>
              <w:ind w:right="84"/>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4,714</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5,287</w:t>
            </w:r>
          </w:p>
        </w:tc>
        <w:tc>
          <w:tcPr>
            <w:tcW w:w="2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1,753</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1,335</w:t>
            </w:r>
          </w:p>
        </w:tc>
        <w:tc>
          <w:tcPr>
            <w:tcW w:w="22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(7,627</w:t>
            </w:r>
          </w:p>
        </w:tc>
        <w:tc>
          <w:tcPr>
            <w:tcW w:w="12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63"/>
        </w:trPr>
        <w:tc>
          <w:tcPr>
            <w:tcW w:w="35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2025</w:t>
            </w:r>
          </w:p>
        </w:tc>
        <w:tc>
          <w:tcPr>
            <w:tcW w:w="8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-736600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-736600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-736600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-736600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-736600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-736600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-736600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-736600</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-25400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-25400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-25400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-25400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-7620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net deferred tax liability related to intangible assets was initially recognized as part of the purchase price allocation in the 2016 acquisition of Opera Norway AS and its subsidiaries, arising from temporary differences between the fair values and tax bases of the acquired assets. As of December 31, 2025, the deferred tax liability related to the Opera brand, a trademark with indefinite useful life, amounted to $15.5 million, whereas the deferred tax liability related to customer-related assets, which are amortized, amounted to $3.3 million. As these intangible assets are amortized or impaired, their carrying amounts decrease, which reduces the underlying temporary differences. This results in a proportional reversal of the related deferred tax liabilities, recognized as a deferred tax benefit in the Statement of Operations. See Note 10 for more information on these intangible assets.</w:t>
      </w:r>
    </w:p>
    <w:p>
      <w:pPr>
        <w:spacing w:after="0" w:line="160"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Opera has recognized deferred tax assets related to intra-group interest expenses that are carried forward due to limitations under Norwegian tax rules on annual interest deductibility. Such amounts may be carried forward for up to ten years. Deferred tax assets have also been recognized for tax losses that may be carried forward indefinitely. Recognition of these deferred tax assets is based on an assessment that it is probable that sufficient future taxable profits will be available. This assessment is supported by business forecasts.</w:t>
      </w:r>
    </w:p>
    <w:p>
      <w:pPr>
        <w:spacing w:after="0" w:line="139" w:lineRule="exact"/>
        <w:rPr>
          <w:sz w:val="20"/>
          <w:szCs w:val="20"/>
          <w:color w:val="auto"/>
        </w:rPr>
      </w:pPr>
    </w:p>
    <w:p>
      <w:pPr>
        <w:jc w:val="both"/>
        <w:ind w:right="100" w:firstLine="374"/>
        <w:spacing w:after="0" w:line="266" w:lineRule="auto"/>
        <w:rPr>
          <w:sz w:val="20"/>
          <w:szCs w:val="20"/>
          <w:color w:val="auto"/>
        </w:rPr>
      </w:pPr>
      <w:r>
        <w:rPr>
          <w:rFonts w:ascii="Times New Roman" w:cs="Times New Roman" w:eastAsia="Times New Roman" w:hAnsi="Times New Roman"/>
          <w:sz w:val="18"/>
          <w:szCs w:val="18"/>
          <w:color w:val="auto"/>
        </w:rPr>
        <w:t>In 2024, a deferred tax asset of $1.0 million was recognized with a corresponding credit directly to equity, representing the excess of estimated future tax deductions over the cumulative share-based compensation expense. In 2025, a $2.1 million reduction of this deferred tax assets was charged directly to equity.</w:t>
      </w:r>
    </w:p>
    <w:p>
      <w:pPr>
        <w:spacing w:after="0" w:line="135"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After offsetting deferred tax assets and liabilities within the same tax jurisdiction, the following amounts are presented in the Statement of Financial Position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04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1,063</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1,585</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4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8,689</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Earnings Per Share</w:t>
      </w:r>
    </w:p>
    <w:p>
      <w:pPr>
        <w:spacing w:after="0" w:line="202"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Basic earnings per share is calculated by dividing the net income attributable to ordinary shareholders by the weighted average number of ordinary shares outstanding during the year.</w:t>
      </w:r>
    </w:p>
    <w:p>
      <w:pPr>
        <w:spacing w:after="0" w:line="121"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Diluted earnings per share reflects the potential dilution from outstanding equity awards. The weighted average number of shares is adjusted for the dilutive effect of share-based awards, calculated using the treasury share method, which assumes that outstanding awards are exercised and that the proceeds from exercise and unrecognized compensation cost are used to repurchase shares at the average market price during the period.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basic and diluted earnings per share: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920" w:type="dxa"/>
            <w:vAlign w:val="bottom"/>
            <w:shd w:val="clear" w:color="auto" w:fill="CFF0FC"/>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0.91</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r>
    </w:tbl>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shows the calculations of basic and diluted weighted-average number of shares: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3160" w:type="dxa"/>
            <w:vAlign w:val="bottom"/>
            <w:tcBorders>
              <w:bottom w:val="single" w:sz="8" w:color="auto"/>
            </w:tcBorders>
            <w:gridSpan w:val="4"/>
          </w:tcPr>
          <w:p>
            <w:pPr>
              <w:ind w:left="1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6600" w:type="dxa"/>
            <w:vAlign w:val="bottom"/>
          </w:tcPr>
          <w:p>
            <w:pPr>
              <w:spacing w:after="0"/>
              <w:rPr>
                <w:sz w:val="17"/>
                <w:szCs w:val="17"/>
                <w:color w:val="auto"/>
              </w:rPr>
            </w:pPr>
          </w:p>
        </w:tc>
        <w:tc>
          <w:tcPr>
            <w:tcW w:w="13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7"/>
                <w:szCs w:val="17"/>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7"/>
                <w:szCs w:val="17"/>
                <w:color w:val="auto"/>
              </w:rPr>
            </w:pPr>
          </w:p>
        </w:tc>
        <w:tc>
          <w:tcPr>
            <w:tcW w:w="13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shares at beginning of period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89,215,121</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87,518,284</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88,480,154</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Effect of shares issued upon exercise of equity awards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1,003,925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944,983</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1,074,963</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share repurchases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(963,143)</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Basic weighted-average number of shares in the period</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89,255,903</w:t>
            </w: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88,463,267</w:t>
            </w:r>
          </w:p>
        </w:tc>
        <w:tc>
          <w:tcPr>
            <w:tcW w:w="200" w:type="dxa"/>
            <w:vAlign w:val="bottom"/>
            <w:tcBorders>
              <w:top w:val="single" w:sz="8" w:color="CFF0FC"/>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89,555,117</w:t>
            </w:r>
          </w:p>
        </w:tc>
        <w:tc>
          <w:tcPr>
            <w:tcW w:w="100" w:type="dxa"/>
            <w:vAlign w:val="bottom"/>
            <w:tcBorders>
              <w:top w:val="single" w:sz="8" w:color="CFF0FC"/>
            </w:tcBorders>
          </w:tcPr>
          <w:p>
            <w:pPr>
              <w:spacing w:after="0"/>
              <w:rPr>
                <w:sz w:val="18"/>
                <w:szCs w:val="18"/>
                <w:color w:val="auto"/>
              </w:rPr>
            </w:pPr>
          </w:p>
        </w:tc>
      </w:tr>
      <w:tr>
        <w:trPr>
          <w:trHeight w:val="210"/>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unexercised equity awards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1,665,705</w:t>
            </w:r>
          </w:p>
        </w:tc>
        <w:tc>
          <w:tcPr>
            <w:tcW w:w="2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1,213,007</w:t>
            </w:r>
          </w:p>
        </w:tc>
        <w:tc>
          <w:tcPr>
            <w:tcW w:w="2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1,400,488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Diluted weighted-average number of shares in the period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90,921,608</w:t>
            </w:r>
          </w:p>
        </w:tc>
        <w:tc>
          <w:tcPr>
            <w:tcW w:w="2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89,676,274</w:t>
            </w: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90,955,605</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-445135</wp:posOffset>
            </wp:positionV>
            <wp:extent cx="768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-445135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-153670</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-153670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4 for details on Opera’s share incentive plan and Note 16 for information on share repurchases.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Property and Equipment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Property and equipment, including right-of-use assets (see Note 13), are measured at cost less accumulated depreciation and impairment losses. Depreciation is recognized on a straight-line basis over the estimated useful lives of the assets or, for right-of-use assets, over the shorter of the lease term and the asset’s useful life. Useful lives, residual values and depreciation methods are reviewed at each reporting date and adjusted prospectively where appropriate.</w:t>
      </w:r>
    </w:p>
    <w:p>
      <w:pPr>
        <w:spacing w:after="0" w:line="153"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Property and equipment are tested for impairment when indicators of impairment exist. An impairment loss is recognized when the carrying amount exceeds the recoverable amount, being the higher of an asset’s fair value less costs of disposal and value in use. For the impairment testing, assets are grouped into cash-generating units representing the lowest level at which largely independent cash inflows are generated. Value in use is determined by discounting estimated future cash flows using a discount rate reflecting current market assessments of the time value of money and the risks specific to the asset or cash-generating unit. Impairment losses recognized in prior periods are reviewed for possible reversal at each reporting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Carrying Amounts of Property and Equipment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Leasehold</w:t>
            </w:r>
          </w:p>
        </w:tc>
        <w:tc>
          <w:tcPr>
            <w:tcW w:w="10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8"/>
              </w:rPr>
              <w:t>Furniture and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440" w:type="dxa"/>
            <w:vAlign w:val="bottom"/>
          </w:tcPr>
          <w:p>
            <w:pPr>
              <w:spacing w:after="0"/>
              <w:rPr>
                <w:sz w:val="18"/>
                <w:szCs w:val="18"/>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Office Premises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Equipment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Improvements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Fixtures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213"/>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book value as of January 1, 2024</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(8,921)</w:t>
            </w: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r>
      <w:tr>
        <w:trPr>
          <w:trHeight w:val="210"/>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2024</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28,393</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(10,670)</w:t>
            </w: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movements in exchange rates</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r>
      <w:tr>
        <w:trPr>
          <w:trHeight w:val="20"/>
        </w:trPr>
        <w:tc>
          <w:tcPr>
            <w:tcW w:w="4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book value as of December 31, 2025</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27,174</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00" w:type="dxa"/>
            <w:vAlign w:val="bottom"/>
            <w:shd w:val="clear" w:color="auto" w:fill="CFF0FC"/>
          </w:tcPr>
          <w:p>
            <w:pPr>
              <w:spacing w:after="0"/>
              <w:rPr>
                <w:sz w:val="21"/>
                <w:szCs w:val="21"/>
                <w:color w:val="auto"/>
              </w:rPr>
            </w:pPr>
          </w:p>
        </w:tc>
      </w:tr>
      <w:tr>
        <w:trPr>
          <w:trHeight w:val="197"/>
        </w:trPr>
        <w:tc>
          <w:tcPr>
            <w:tcW w:w="44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80,514</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Accumulated depreciation and impairment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(10,916)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(33,115)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(714)</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(46,456)</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88,329</w:t>
            </w:r>
          </w:p>
        </w:tc>
        <w:tc>
          <w:tcPr>
            <w:tcW w:w="100" w:type="dxa"/>
            <w:vAlign w:val="bottom"/>
            <w:shd w:val="clear" w:color="auto" w:fill="CFF0FC"/>
          </w:tcPr>
          <w:p>
            <w:pPr>
              <w:spacing w:after="0"/>
              <w:rPr>
                <w:sz w:val="18"/>
                <w:szCs w:val="18"/>
                <w:color w:val="auto"/>
              </w:rPr>
            </w:pPr>
          </w:p>
        </w:tc>
      </w:tr>
      <w:tr>
        <w:trPr>
          <w:trHeight w:val="234"/>
        </w:trPr>
        <w:tc>
          <w:tcPr>
            <w:tcW w:w="4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depreciation and impairment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(55,584)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-1562735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-1562735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-1562735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-1562735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-1562735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-996950</wp:posOffset>
            </wp:positionV>
            <wp:extent cx="6858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-979805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-996950</wp:posOffset>
            </wp:positionV>
            <wp:extent cx="6858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-979805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-996950</wp:posOffset>
            </wp:positionV>
            <wp:extent cx="685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-979805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-996950</wp:posOffset>
            </wp:positionV>
            <wp:extent cx="685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-979805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-996950</wp:posOffset>
            </wp:positionV>
            <wp:extent cx="685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320" w:firstLine="374"/>
        <w:spacing w:after="0" w:line="282" w:lineRule="auto"/>
        <w:rPr>
          <w:sz w:val="20"/>
          <w:szCs w:val="20"/>
          <w:color w:val="auto"/>
        </w:rPr>
      </w:pPr>
      <w:r>
        <w:rPr>
          <w:rFonts w:ascii="Times New Roman" w:cs="Times New Roman" w:eastAsia="Times New Roman" w:hAnsi="Times New Roman"/>
          <w:sz w:val="18"/>
          <w:szCs w:val="18"/>
          <w:color w:val="auto"/>
        </w:rPr>
        <w:t>Additions to equipment in 2024 included the purchase of an NVIDIA DGX SuperPOD for $19.1 million to establish an AI data center cluster. See Note 13 for additions to right-of-use assets.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Depreciation is calculated on a straight-line basis over the estimated useful lives of the assets, as follows:</w:t>
      </w:r>
    </w:p>
    <w:p>
      <w:pPr>
        <w:spacing w:after="0" w:line="185"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 premises: Over the lease term.</w:t>
      </w:r>
    </w:p>
    <w:p>
      <w:pPr>
        <w:spacing w:after="0" w:line="184"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Up to 10 years, or the lease term, whichever is shorter. Within this category, servers and network equipment are depreciated over an estimated useful life of 6 years.</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Up to 6 years, or the lease term, whichever is shorter.</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and fixtures: Up to 5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Intangible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87"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Intangible assets are initially recognized at cost. Government grants related to technology development are deducted from the carrying amount of the related asset when there is reasonable assurance that the grant will be received and the associated conditions will be met. After initial recognition, intangible assets are carried at cost less accumulated amortization and impairment losses.</w:t>
      </w:r>
    </w:p>
    <w:p>
      <w:pPr>
        <w:spacing w:after="0" w:line="149"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Intangible assets with finite useful lives are amortized on a straight-line basis over their estimated useful lives. Useful lives and amortization methods are reviewed at each reporting date and adjusted prospectively, if appropriate. Finite-lived intangible assets are tested for impairment when events or changes in circumstances indicate that they may be impaired.</w:t>
      </w:r>
    </w:p>
    <w:p>
      <w:pPr>
        <w:spacing w:after="0" w:line="135" w:lineRule="exact"/>
        <w:rPr>
          <w:sz w:val="20"/>
          <w:szCs w:val="20"/>
          <w:color w:val="auto"/>
        </w:rPr>
      </w:pPr>
    </w:p>
    <w:p>
      <w:pPr>
        <w:ind w:right="340" w:firstLine="374"/>
        <w:spacing w:after="0" w:line="282" w:lineRule="auto"/>
        <w:rPr>
          <w:sz w:val="20"/>
          <w:szCs w:val="20"/>
          <w:color w:val="auto"/>
        </w:rPr>
      </w:pPr>
      <w:r>
        <w:rPr>
          <w:rFonts w:ascii="Times New Roman" w:cs="Times New Roman" w:eastAsia="Times New Roman" w:hAnsi="Times New Roman"/>
          <w:sz w:val="18"/>
          <w:szCs w:val="18"/>
          <w:color w:val="auto"/>
        </w:rPr>
        <w:t>Intangible assets with indefinite useful lives are not amortized and are tested for impairment at least annually, and more frequently if indicators of impairment exist.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00"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consideration transferred over the fair value of identifiable net assets acquired in a business combination. Goodwill is not amortized and is measured at cost less accumulated impairment losses. Goodwill is tested for impairment annually, and more frequently if indicators of impairment exist. For impairment testing, goodwill is allocated to the cash-generating unit (“CGU”) or group of CGUs expected to benefit from the business combination, representing the lowest level at which goodwill is monitored for internal management purposes.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w:t>
      </w:r>
    </w:p>
    <w:p>
      <w:pPr>
        <w:spacing w:after="0" w:line="187"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At each reporting date, Opera assesses whether there is any indication that an intangible asset may be impaired. An impairment loss is recognized when the carrying amount exceeds the higher of fair value less costs of disposal and value in use (the “recoverable amount”).</w:t>
      </w:r>
    </w:p>
    <w:p>
      <w:pPr>
        <w:spacing w:after="0" w:line="135"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For impairment testing, assets are grouped into CGUs representing the lowest level at which largely independent cash inflows are generated. Value in use is determined by discounting estimated future cash flows using a discount rate reflecting current market assessments of the time value of money and risks specific to the asset or CGU. The most recent detailed calculation of the recoverable amount from a prior period may be used in the impairment test in the current period provided all of the following criteria are met:</w:t>
      </w:r>
    </w:p>
    <w:p>
      <w:pPr>
        <w:spacing w:after="0" w:line="139"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and liabilities making up the cash-generating unit have not changed significantly since the most recent recoverable amount calculation;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recoverable amount calculation resulted in an amount that exceeded the carrying amount of the unit by a substantial margin; and</w:t>
      </w:r>
    </w:p>
    <w:p>
      <w:pPr>
        <w:spacing w:after="0" w:line="198"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analysis of events that have occurred and circumstances that have changed since the most recent recoverable amount calculation, the likelihood that a current recoverable amount determination would be less than the current carrying amount of the unit is remote.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Impairment losses for intangible assets other than goodwill are reviewed for possible reversal at each reporting date.</w:t>
      </w:r>
    </w:p>
    <w:p>
      <w:pPr>
        <w:spacing w:after="0" w:line="18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 Assets</w:t>
      </w:r>
    </w:p>
    <w:p>
      <w:pPr>
        <w:spacing w:after="0" w:line="200" w:lineRule="exact"/>
        <w:rPr>
          <w:sz w:val="20"/>
          <w:szCs w:val="20"/>
          <w:color w:val="auto"/>
        </w:rPr>
      </w:pPr>
    </w:p>
    <w:p>
      <w:pPr>
        <w:ind w:firstLine="374"/>
        <w:spacing w:after="0" w:line="258" w:lineRule="auto"/>
        <w:rPr>
          <w:sz w:val="20"/>
          <w:szCs w:val="20"/>
          <w:color w:val="auto"/>
        </w:rPr>
      </w:pPr>
      <w:r>
        <w:rPr>
          <w:rFonts w:ascii="Times New Roman" w:cs="Times New Roman" w:eastAsia="Times New Roman" w:hAnsi="Times New Roman"/>
          <w:sz w:val="18"/>
          <w:szCs w:val="18"/>
          <w:color w:val="auto"/>
        </w:rPr>
        <w:t>Crypto assets are classified based on their characteristics and the purpose for which they are held. An inherent characteristic of all crypto assets held by Opera is that they are digital representations and, hence, intangible by nature. Stablecoins that are short-term, highly liquid, readily convertible into known amounts of cash and subject to an insignificant risk of changes in value are presented as cash equivalents when they are held to meet short-term cash commitments. Other crypto assets are classified as intangible assets. Cash flows from purchases and sales of crypto assets are presented within operating activities.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the Carrying Amounts of Goodwill and Intangible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420"/>
              <w:spacing w:after="0" w:line="156" w:lineRule="exact"/>
              <w:rPr>
                <w:sz w:val="20"/>
                <w:szCs w:val="20"/>
                <w:color w:val="auto"/>
              </w:rPr>
            </w:pPr>
            <w:r>
              <w:rPr>
                <w:rFonts w:ascii="Times New Roman" w:cs="Times New Roman" w:eastAsia="Times New Roman" w:hAnsi="Times New Roman"/>
                <w:sz w:val="15"/>
                <w:szCs w:val="15"/>
                <w:b w:val="1"/>
                <w:bCs w:val="1"/>
                <w:color w:val="auto"/>
              </w:rPr>
              <w:t>Customer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5"/>
                <w:szCs w:val="15"/>
                <w:b w:val="1"/>
                <w:bCs w:val="1"/>
                <w:color w:val="auto"/>
              </w:rPr>
              <w:t>Intangible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3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5"/>
                <w:szCs w:val="15"/>
                <w:b w:val="1"/>
                <w:bCs w:val="1"/>
                <w:color w:val="auto"/>
              </w:rPr>
              <w:t>Goodwill</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5"/>
                <w:szCs w:val="15"/>
                <w:b w:val="1"/>
                <w:bCs w:val="1"/>
                <w:color w:val="auto"/>
              </w:rPr>
              <w:t>Trademark</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5"/>
                <w:szCs w:val="15"/>
                <w:b w:val="1"/>
                <w:bCs w:val="1"/>
                <w:color w:val="auto"/>
              </w:rPr>
              <w:t>Relationships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5"/>
                <w:szCs w:val="15"/>
                <w:b w:val="1"/>
                <w:bCs w:val="1"/>
                <w:color w:val="auto"/>
              </w:rPr>
              <w:t>Technology</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0"/>
              <w:spacing w:after="0" w:line="189" w:lineRule="exact"/>
              <w:rPr>
                <w:sz w:val="20"/>
                <w:szCs w:val="20"/>
                <w:color w:val="auto"/>
              </w:rPr>
            </w:pPr>
            <w:r>
              <w:rPr>
                <w:rFonts w:ascii="Times New Roman" w:cs="Times New Roman" w:eastAsia="Times New Roman" w:hAnsi="Times New Roman"/>
                <w:sz w:val="15"/>
                <w:szCs w:val="15"/>
                <w:b w:val="1"/>
                <w:bCs w:val="1"/>
                <w:color w:val="auto"/>
                <w:w w:val="97"/>
              </w:rPr>
              <w:t xml:space="preserve">Assets </w:t>
            </w:r>
            <w:r>
              <w:rPr>
                <w:rFonts w:ascii="Times New Roman" w:cs="Times New Roman" w:eastAsia="Times New Roman" w:hAnsi="Times New Roman"/>
                <w:sz w:val="20"/>
                <w:szCs w:val="20"/>
                <w:b w:val="1"/>
                <w:bCs w:val="1"/>
                <w:color w:val="auto"/>
                <w:w w:val="97"/>
                <w:vertAlign w:val="superscript"/>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0" w:type="dxa"/>
            <w:vAlign w:val="bottom"/>
          </w:tcPr>
          <w:p>
            <w:pPr>
              <w:spacing w:after="0"/>
              <w:rPr>
                <w:sz w:val="16"/>
                <w:szCs w:val="16"/>
                <w:color w:val="auto"/>
              </w:rPr>
            </w:pPr>
          </w:p>
        </w:tc>
      </w:tr>
      <w:tr>
        <w:trPr>
          <w:trHeight w:val="196"/>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book value as of January 1, 2024</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429,856</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20,210</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528,926</w:t>
            </w:r>
          </w:p>
        </w:tc>
        <w:tc>
          <w:tcPr>
            <w:tcW w:w="100" w:type="dxa"/>
            <w:vAlign w:val="bottom"/>
            <w:shd w:val="clear" w:color="auto" w:fill="CFF0FC"/>
          </w:tcPr>
          <w:p>
            <w:pPr>
              <w:spacing w:after="0"/>
              <w:rPr>
                <w:sz w:val="17"/>
                <w:szCs w:val="17"/>
                <w:color w:val="auto"/>
              </w:rPr>
            </w:pPr>
          </w:p>
        </w:tc>
      </w:tr>
      <w:tr>
        <w:trPr>
          <w:trHeight w:val="203"/>
        </w:trPr>
        <w:tc>
          <w:tcPr>
            <w:tcW w:w="3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Additions, net of government grants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12,013</w:t>
            </w:r>
          </w:p>
        </w:tc>
        <w:tc>
          <w:tcPr>
            <w:tcW w:w="100" w:type="dxa"/>
            <w:vAlign w:val="bottom"/>
          </w:tcPr>
          <w:p>
            <w:pPr>
              <w:spacing w:after="0"/>
              <w:rPr>
                <w:sz w:val="17"/>
                <w:szCs w:val="17"/>
                <w:color w:val="auto"/>
              </w:rPr>
            </w:pPr>
          </w:p>
        </w:tc>
      </w:tr>
      <w:tr>
        <w:trPr>
          <w:trHeight w:val="203"/>
        </w:trPr>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Reclassification</w:t>
            </w: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(801)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(801)</w:t>
            </w:r>
          </w:p>
        </w:tc>
      </w:tr>
      <w:tr>
        <w:trPr>
          <w:trHeight w:val="202"/>
        </w:trPr>
        <w:tc>
          <w:tcPr>
            <w:tcW w:w="3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Amortization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(6,662)</w:t>
            </w:r>
          </w:p>
        </w:tc>
      </w:tr>
      <w:tr>
        <w:trPr>
          <w:trHeight w:val="203"/>
        </w:trPr>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Disposals</w:t>
            </w: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(2,888)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(2,888)</w:t>
            </w:r>
          </w:p>
        </w:tc>
      </w:tr>
      <w:tr>
        <w:trPr>
          <w:trHeight w:val="203"/>
        </w:trPr>
        <w:tc>
          <w:tcPr>
            <w:tcW w:w="3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w:t>
            </w:r>
          </w:p>
        </w:tc>
      </w:tr>
      <w:tr>
        <w:trPr>
          <w:trHeight w:val="203"/>
        </w:trPr>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Effect of movements in exchange rates</w:t>
            </w: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(151)</w:t>
            </w:r>
          </w:p>
        </w:tc>
      </w:tr>
      <w:tr>
        <w:trPr>
          <w:trHeight w:val="196"/>
        </w:trPr>
        <w:tc>
          <w:tcPr>
            <w:tcW w:w="3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Net book value as of December 31, 2024</w:t>
            </w:r>
          </w:p>
        </w:tc>
        <w:tc>
          <w:tcPr>
            <w:tcW w:w="48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429,742</w:t>
            </w: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17,630</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9,249</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530,325</w:t>
            </w:r>
          </w:p>
        </w:tc>
        <w:tc>
          <w:tcPr>
            <w:tcW w:w="100" w:type="dxa"/>
            <w:vAlign w:val="bottom"/>
            <w:tcBorders>
              <w:top w:val="single" w:sz="8" w:color="CFF0FC"/>
            </w:tcBorders>
          </w:tcPr>
          <w:p>
            <w:pPr>
              <w:spacing w:after="0"/>
              <w:rPr>
                <w:sz w:val="17"/>
                <w:szCs w:val="17"/>
                <w:color w:val="auto"/>
              </w:rPr>
            </w:pPr>
          </w:p>
        </w:tc>
      </w:tr>
      <w:tr>
        <w:trPr>
          <w:trHeight w:val="196"/>
        </w:trPr>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Additions, net of government grants</w:t>
            </w: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9,699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12,721</w:t>
            </w:r>
          </w:p>
        </w:tc>
        <w:tc>
          <w:tcPr>
            <w:tcW w:w="100" w:type="dxa"/>
            <w:vAlign w:val="bottom"/>
            <w:shd w:val="clear" w:color="auto" w:fill="CFF0FC"/>
          </w:tcPr>
          <w:p>
            <w:pPr>
              <w:spacing w:after="0"/>
              <w:rPr>
                <w:sz w:val="17"/>
                <w:szCs w:val="17"/>
                <w:color w:val="auto"/>
              </w:rPr>
            </w:pPr>
          </w:p>
        </w:tc>
      </w:tr>
      <w:tr>
        <w:trPr>
          <w:trHeight w:val="203"/>
        </w:trPr>
        <w:tc>
          <w:tcPr>
            <w:tcW w:w="3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Amortization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(8,190)</w:t>
            </w:r>
          </w:p>
        </w:tc>
      </w:tr>
      <w:tr>
        <w:trPr>
          <w:trHeight w:val="203"/>
        </w:trPr>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Disposals</w:t>
            </w: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(4,011)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(4,011)</w:t>
            </w:r>
          </w:p>
        </w:tc>
      </w:tr>
      <w:tr>
        <w:trPr>
          <w:trHeight w:val="203"/>
        </w:trPr>
        <w:tc>
          <w:tcPr>
            <w:tcW w:w="3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(1,819)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(1,946)</w:t>
            </w:r>
          </w:p>
        </w:tc>
      </w:tr>
      <w:tr>
        <w:trPr>
          <w:trHeight w:val="203"/>
        </w:trPr>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Effect of movements in exchange rates</w:t>
            </w: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00" w:type="dxa"/>
            <w:vAlign w:val="bottom"/>
            <w:shd w:val="clear" w:color="auto" w:fill="CFF0FC"/>
          </w:tcPr>
          <w:p>
            <w:pPr>
              <w:spacing w:after="0"/>
              <w:rPr>
                <w:sz w:val="17"/>
                <w:szCs w:val="17"/>
                <w:color w:val="auto"/>
              </w:rPr>
            </w:pPr>
          </w:p>
        </w:tc>
      </w:tr>
      <w:tr>
        <w:trPr>
          <w:trHeight w:val="20"/>
        </w:trPr>
        <w:tc>
          <w:tcPr>
            <w:tcW w:w="33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book value as of December 31, 2025</w:t>
            </w:r>
          </w:p>
        </w:tc>
        <w:tc>
          <w:tcPr>
            <w:tcW w:w="4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430,323</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15,050</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13,216</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529,456</w:t>
            </w:r>
          </w:p>
        </w:tc>
        <w:tc>
          <w:tcPr>
            <w:tcW w:w="100" w:type="dxa"/>
            <w:vAlign w:val="bottom"/>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3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Cost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432,823</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40,732</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48,104</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6,970</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599,231</w:t>
            </w:r>
          </w:p>
        </w:tc>
        <w:tc>
          <w:tcPr>
            <w:tcW w:w="100" w:type="dxa"/>
            <w:vAlign w:val="bottom"/>
            <w:shd w:val="clear" w:color="auto" w:fill="CFF0FC"/>
          </w:tcPr>
          <w:p>
            <w:pPr>
              <w:spacing w:after="0"/>
              <w:rPr>
                <w:sz w:val="17"/>
                <w:szCs w:val="17"/>
                <w:color w:val="auto"/>
              </w:rPr>
            </w:pPr>
          </w:p>
        </w:tc>
      </w:tr>
      <w:tr>
        <w:trPr>
          <w:trHeight w:val="203"/>
        </w:trPr>
        <w:tc>
          <w:tcPr>
            <w:tcW w:w="3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amortization and impairment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(3,081)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(23,102)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(38,854)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(3,867)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(68,905)</w:t>
            </w:r>
          </w:p>
        </w:tc>
      </w:tr>
      <w:tr>
        <w:trPr>
          <w:trHeight w:val="203"/>
        </w:trPr>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3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Cost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433,404</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40,732</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57,805</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w:t>
            </w:r>
          </w:p>
        </w:tc>
        <w:tc>
          <w:tcPr>
            <w:tcW w:w="14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607,120</w:t>
            </w:r>
          </w:p>
        </w:tc>
        <w:tc>
          <w:tcPr>
            <w:tcW w:w="100" w:type="dxa"/>
            <w:vAlign w:val="bottom"/>
          </w:tcPr>
          <w:p>
            <w:pPr>
              <w:spacing w:after="0"/>
              <w:rPr>
                <w:sz w:val="17"/>
                <w:szCs w:val="17"/>
                <w:color w:val="auto"/>
              </w:rPr>
            </w:pPr>
          </w:p>
        </w:tc>
      </w:tr>
      <w:tr>
        <w:trPr>
          <w:trHeight w:val="203"/>
        </w:trPr>
        <w:tc>
          <w:tcPr>
            <w:tcW w:w="3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amortization and impairment</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(3,081)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(25,682)</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(44,589)</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(4,313)</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(77,664)</w:t>
            </w:r>
          </w:p>
        </w:tc>
      </w:tr>
      <w:tr>
        <w:trPr>
          <w:trHeight w:val="22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-1990725</wp:posOffset>
            </wp:positionV>
            <wp:extent cx="768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-1990725</wp:posOffset>
            </wp:positionV>
            <wp:extent cx="7747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-1990725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-1990725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-1990725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-1990725</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-1202055</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-1202055</wp:posOffset>
            </wp:positionV>
            <wp:extent cx="774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-1202055</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-1202055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-1202055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-1202055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40" w:hanging="372"/>
        <w:spacing w:after="0" w:line="269" w:lineRule="auto"/>
        <w:tabs>
          <w:tab w:leader="none" w:pos="3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intangible assets include holdings of CELO tokens (see below) and certain other crypto assets, with a total carrying amount of $3.1 million and $0.2 million as of December 31, 2024 and 2025, respectively. These assets have indefinite useful lives and are included in “Other current assets” in the Statement of Financial Position, as they are expected to be realized within twelve months after the reporting period. See Note 15 for information on crypto assets classified as financial assets.</w:t>
      </w:r>
    </w:p>
    <w:p>
      <w:pPr>
        <w:spacing w:after="0" w:line="142"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Opera has a strategic partnership agreement relating to MiniPay with AP Grant Foundation Company, an entity that promotes the Celo blockchain. Under this agreement, Opera was committed to purchase CELO tokens in the amount of $0.25 million per quarter through the first quarter of 2029, with each quarterly token purchase subject to a one-year contractual lock-up period from its date of acquisition. Subsequent to the reporting period, as part of a broader amendment to this partnership agreement, Opera’s ongoing purchase obligation was removed.</w:t>
      </w:r>
    </w:p>
    <w:p>
      <w:pPr>
        <w:spacing w:after="0" w:line="153"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Opera has received grants from the Norwegian government for the research and development of new technologies. Grants amounted to $0.4 million in 2024 and $0.5 million in 2025 and were recognized as a reduction of the carrying amount of the related technology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intangible assets with finite useful lives, amortization is calculated on a straight-line basis over the following periods:</w:t>
      </w:r>
    </w:p>
    <w:p>
      <w:pPr>
        <w:spacing w:after="0" w:line="198" w:lineRule="exact"/>
        <w:rPr>
          <w:sz w:val="20"/>
          <w:szCs w:val="20"/>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Up to 15 years.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Up to 5 years.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intangible assets: Up to 5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 on Technology Assets</w:t>
      </w:r>
    </w:p>
    <w:p>
      <w:pPr>
        <w:spacing w:after="0" w:line="189"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In 2023, 2024 and 2025, Opera recognized impairment losses of $0.7 million, $0.1 million and $0.1 million, respectively, each relating to different non-strategic technology assets.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 for Crypto Assets</w:t>
      </w:r>
    </w:p>
    <w:p>
      <w:pPr>
        <w:spacing w:after="0" w:line="202"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Crypto assets classified as intangible assets have indefinite useful lives and are tested for impairment at least annually, or more frequently if indicators of impairment exist. Their recoverable amounts were estimated as fair values less costs of disposal. Unadjusted quoted prices on crypto exchanges that are the principal markets for the crypto assets, which are level 1 inputs within the fair value hierarchy, were determined to represent fair values, while costs of disposal were estimated based on transaction fees observed on the crypto exchanges. Total impairment losses recognized on crypto assets in 2025 amounted to $1.8 million (2023 and 2024: nil).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Test for Goodwill and Trademark</w:t>
      </w:r>
    </w:p>
    <w:p>
      <w:pPr>
        <w:spacing w:after="0" w:line="189" w:lineRule="exact"/>
        <w:rPr>
          <w:sz w:val="20"/>
          <w:szCs w:val="20"/>
          <w:color w:val="auto"/>
        </w:rPr>
      </w:pPr>
    </w:p>
    <w:p>
      <w:pPr>
        <w:jc w:val="both"/>
        <w:ind w:right="140" w:firstLine="374"/>
        <w:spacing w:after="0" w:line="266" w:lineRule="auto"/>
        <w:rPr>
          <w:sz w:val="20"/>
          <w:szCs w:val="20"/>
          <w:color w:val="auto"/>
        </w:rPr>
      </w:pPr>
      <w:r>
        <w:rPr>
          <w:rFonts w:ascii="Times New Roman" w:cs="Times New Roman" w:eastAsia="Times New Roman" w:hAnsi="Times New Roman"/>
          <w:sz w:val="18"/>
          <w:szCs w:val="18"/>
          <w:color w:val="auto"/>
        </w:rPr>
        <w:t>Of the goodwill recognized as of December 31, 2025, $421.6 million was attributable to the acquisitions of Opera Norway AS and its subsidiaries in 2016 and $8.7 million to the acquisition of YoYo Games Ltd. in 2021. In connection with the Opera Norway acquisition, the Opera brand was recognized as a trademark with an estimated fair value at the time of $70.6 million.</w:t>
      </w:r>
    </w:p>
    <w:p>
      <w:pPr>
        <w:spacing w:after="0" w:line="14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Opera is organized into business units based on its main categories of products and services, and each such business unit represents a cash-generating unit. Goodwill is monitored at the Group level for internal management purposes, while the trademark is a corporate asset that contributes to the future cash flows of all business units. Accordingly, both goodwill and the trademark were tested for impairment at the level of the Group.</w:t>
      </w:r>
    </w:p>
    <w:p>
      <w:pPr>
        <w:spacing w:after="0" w:line="135" w:lineRule="exact"/>
        <w:rPr>
          <w:sz w:val="20"/>
          <w:szCs w:val="20"/>
          <w:color w:val="auto"/>
        </w:rPr>
      </w:pPr>
    </w:p>
    <w:p>
      <w:pPr>
        <w:ind w:right="480" w:firstLine="374"/>
        <w:spacing w:after="0" w:line="282" w:lineRule="auto"/>
        <w:rPr>
          <w:sz w:val="20"/>
          <w:szCs w:val="20"/>
          <w:color w:val="auto"/>
        </w:rPr>
      </w:pPr>
      <w:r>
        <w:rPr>
          <w:rFonts w:ascii="Times New Roman" w:cs="Times New Roman" w:eastAsia="Times New Roman" w:hAnsi="Times New Roman"/>
          <w:sz w:val="18"/>
          <w:szCs w:val="18"/>
          <w:color w:val="auto"/>
        </w:rPr>
        <w:t>In the annual impairment test performed at the end of 2025, management relied on the recoverable amount determined at the end of 2023, as the criteria for using a prior-period calculation were met.</w:t>
      </w:r>
    </w:p>
    <w:p>
      <w:pPr>
        <w:spacing w:after="0" w:line="121" w:lineRule="exact"/>
        <w:rPr>
          <w:sz w:val="20"/>
          <w:szCs w:val="20"/>
          <w:color w:val="auto"/>
        </w:rPr>
      </w:pPr>
    </w:p>
    <w:p>
      <w:pPr>
        <w:ind w:right="20" w:firstLine="374"/>
        <w:spacing w:after="0" w:line="272" w:lineRule="auto"/>
        <w:rPr>
          <w:sz w:val="20"/>
          <w:szCs w:val="20"/>
          <w:color w:val="auto"/>
        </w:rPr>
      </w:pPr>
      <w:r>
        <w:rPr>
          <w:rFonts w:ascii="Times New Roman" w:cs="Times New Roman" w:eastAsia="Times New Roman" w:hAnsi="Times New Roman"/>
          <w:sz w:val="17"/>
          <w:szCs w:val="17"/>
          <w:color w:val="auto"/>
        </w:rPr>
        <w:t>The recoverable amount was measured as the value in use by estimating the present value of the future cash flows from the cash-generating units. The projected cash flows were based on the most up-to-date forecast that had been approved by management and did not include cash flows arising from future enhancements of assets that had not been committed to and had not substantively commenced. The management-approved forecast at the time was for 2024 only as management does not approve forecasts longer than one year into the future. Because the length of the projection period for the forecasts used in the impairment test is into perpetuity, management identified a “steady state” set of assumptions for the cash flows based on an approach where, in addition to the forecast for 2024, cash flows in 2025 and 2026 were estimated and then the estimated cash flows in 2026 were used as the basis for the terminal value. This two-stage approach was aimed to take cash flows to a level at which they can be regarded as reflecting maintainable earnings and to the period in a mid-point of the cycle – i.e., not at peak or trough of the cycle. Beyond 2026, the cash flows were extrapolated using a constant nominal growth rate.</w:t>
      </w:r>
    </w:p>
    <w:p>
      <w:pPr>
        <w:spacing w:after="0" w:line="145"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impairment tests performed at the end of 2024 and 2025 demonstrated that the recoverable amount exceeded the carrying amount by a substantial margin. The sections below outline the key assumptions in the value-in-use calculation, including their sensitivities.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in Projected Period</w:t>
      </w:r>
    </w:p>
    <w:p>
      <w:pPr>
        <w:spacing w:after="0" w:line="187"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Cash inflows were expected to grow at an annualized rate of 15.3% over the projected period, before reaching a long-term stable level. Cash inflows were forecasted for each product and country with sufficient and reliable data on which to base projections. Forecasted cash outflows were partly based on actual costs in 2023 and a bottom-up assessment for the relevant business unit. Operating expenditures were expected to grow in U.S. dollar terms but decline relative to revenue due to economies of scale. As a result, the EBITDA margin in the projected period was expected to increase at an average rate of 0.9 percentage points per year.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Growth</w:t>
      </w:r>
    </w:p>
    <w:p>
      <w:pPr>
        <w:spacing w:after="0" w:line="187"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Long-term GDP growth rates in the relevant regions were estimated as the basis for the long-term growth rate in the terminal value. Both the labor force and productivity were assumed to be stable, which resulted in zero real GDP growth. The International Monetary Fund’s inflation estimates for 2028, broken down across regions, were used as the basis for estimating long-term inflation. As a result, the long-term nominal growth rate was estimated to be 2.8%.</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00" w:lineRule="exact"/>
        <w:rPr>
          <w:sz w:val="20"/>
          <w:szCs w:val="20"/>
          <w:color w:val="auto"/>
        </w:rPr>
      </w:pPr>
    </w:p>
    <w:p>
      <w:pPr>
        <w:ind w:right="220" w:firstLine="374"/>
        <w:spacing w:after="0" w:line="261" w:lineRule="auto"/>
        <w:rPr>
          <w:sz w:val="20"/>
          <w:szCs w:val="20"/>
          <w:color w:val="auto"/>
        </w:rPr>
      </w:pPr>
      <w:r>
        <w:rPr>
          <w:rFonts w:ascii="Times New Roman" w:cs="Times New Roman" w:eastAsia="Times New Roman" w:hAnsi="Times New Roman"/>
          <w:sz w:val="18"/>
          <w:szCs w:val="18"/>
          <w:color w:val="auto"/>
        </w:rPr>
        <w:t>The estimated weighted average cost of capital (“WACC”) was used to discount the projected cash flows, as converted to U.S. dollars. The post-tax WACC was calculated to be 14.0%, whereas the derived pre-tax WACC was calculated to be 16.1%. The post-tax WACC was estimated based on the following inputs: Risk-free rate of 3.9%, market risk premium of 4.6%, equity beta of 0.9, country risk premium of 3.3%, size premium of 2.6%, and an equity-to-asset ratio of 100%.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Sensitivity Analysis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Listed below are the changes to the key assumptions that individually would result in an impairment loss as of year-end 2025:</w:t>
      </w:r>
    </w:p>
    <w:p>
      <w:pPr>
        <w:spacing w:after="0" w:line="185" w:lineRule="exact"/>
        <w:rPr>
          <w:sz w:val="20"/>
          <w:szCs w:val="20"/>
          <w:color w:val="auto"/>
        </w:rPr>
      </w:pPr>
    </w:p>
    <w:p>
      <w:pPr>
        <w:ind w:left="5460" w:right="2100" w:hanging="5078"/>
        <w:spacing w:after="0" w:line="501" w:lineRule="auto"/>
        <w:tabs>
          <w:tab w:leader="none" w:pos="7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the annualized growth rate for cash inflows in the projected period by more than 18.4 percentage points. 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the EBITDA margin in the projected period by more than 2.3 percentage points each year.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the long-term growth rate by more than 11.1 percentage points.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the discount rate by more than 7.4 percentage points.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Investments in Unconsolidated Entities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189"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Investments in unconsolidated entities are accounted for based on Opera’s level of influence over the investee. An investee is classified as an associate when Opera has significant influence, defined as the power to participate in the financial and operating policy decisions of the investee, without having control or joint control. An investee is classified as a joint venture when Opera and other parties have contractually agreed to share control and have rights to the net assets of the investee. Investments in associates and joint ventures are accounted for using the equity method. Other investments in unconsolidated entities are classified as financial assets and accounted for in accordance with IFRS 9.</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Equity-Accounted Investees</w:t>
      </w:r>
    </w:p>
    <w:p>
      <w:pPr>
        <w:spacing w:after="0" w:line="200"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Under the equity method, investments in associates and joint ventures are initially recognized at cost and subsequently adjusted for Opera’s share of the investee’s profit or loss and other comprehensive income. The acquisition of an additional interest in an associate or joint venture, without obtaining control, is accounted for as an increase in the carrying amount of the investment. The cost of the additional interest is added to the existing investment and the previously held interest is not remeasured. Unrealized gains on transactions with equity-accounted investees are eliminated to the extent of Opera’s interest in the investee.</w:t>
      </w:r>
    </w:p>
    <w:p>
      <w:pPr>
        <w:spacing w:after="0" w:line="143" w:lineRule="exact"/>
        <w:rPr>
          <w:sz w:val="20"/>
          <w:szCs w:val="20"/>
          <w:color w:val="auto"/>
        </w:rPr>
      </w:pPr>
    </w:p>
    <w:p>
      <w:pPr>
        <w:jc w:val="both"/>
        <w:ind w:right="240" w:firstLine="374"/>
        <w:spacing w:after="0" w:line="266" w:lineRule="auto"/>
        <w:rPr>
          <w:sz w:val="20"/>
          <w:szCs w:val="20"/>
          <w:color w:val="auto"/>
        </w:rPr>
      </w:pPr>
      <w:r>
        <w:rPr>
          <w:rFonts w:ascii="Times New Roman" w:cs="Times New Roman" w:eastAsia="Times New Roman" w:hAnsi="Times New Roman"/>
          <w:sz w:val="18"/>
          <w:szCs w:val="18"/>
          <w:color w:val="auto"/>
        </w:rPr>
        <w:t>If Opera’s share of losses exceeds the carrying amount of the investment, including any long-term interests that form part of the net investment, the carrying amount is reduced to zero and further losses are recognized only to the extent that Opera has incurred legal or constructive obligations or made payments on behalf of the investee.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Financial Investments</w:t>
      </w:r>
    </w:p>
    <w:p>
      <w:pPr>
        <w:spacing w:after="0" w:line="200" w:lineRule="exact"/>
        <w:rPr>
          <w:sz w:val="20"/>
          <w:szCs w:val="20"/>
          <w:color w:val="auto"/>
        </w:rPr>
      </w:pPr>
    </w:p>
    <w:p>
      <w:pPr>
        <w:ind w:right="480" w:firstLine="374"/>
        <w:spacing w:after="0" w:line="266" w:lineRule="auto"/>
        <w:rPr>
          <w:sz w:val="20"/>
          <w:szCs w:val="20"/>
          <w:color w:val="auto"/>
        </w:rPr>
      </w:pPr>
      <w:r>
        <w:rPr>
          <w:rFonts w:ascii="Times New Roman" w:cs="Times New Roman" w:eastAsia="Times New Roman" w:hAnsi="Times New Roman"/>
          <w:sz w:val="18"/>
          <w:szCs w:val="18"/>
          <w:color w:val="auto"/>
        </w:rPr>
        <w:t>Long-term investments in entities over which Opera does not have control, joint control, or significant influence, are measured at fair value on a recurring basis with the net change in fair value recognized in the Statement of Operations as “Fair value gain (loss) on long-term investments.” Transaction costs are expensed as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Investments in Unconsolidated Entities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shows a summary of Opera’s investments in unconsolidated entities (in thousands except for percentages):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Carrying Amount as of</w:t>
            </w:r>
          </w:p>
        </w:tc>
      </w:tr>
      <w:tr>
        <w:trPr>
          <w:trHeight w:val="212"/>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Ownership Interest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2"/>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Investee</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Classification</w:t>
            </w:r>
          </w:p>
        </w:tc>
        <w:tc>
          <w:tcPr>
            <w:tcW w:w="100" w:type="dxa"/>
            <w:vAlign w:val="bottom"/>
          </w:tcPr>
          <w:p>
            <w:pPr>
              <w:spacing w:after="0"/>
              <w:rPr>
                <w:sz w:val="17"/>
                <w:szCs w:val="17"/>
                <w:color w:val="auto"/>
              </w:rPr>
            </w:pPr>
          </w:p>
        </w:tc>
        <w:tc>
          <w:tcPr>
            <w:tcW w:w="1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Measurement Method</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3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OPay</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w:t>
            </w:r>
          </w:p>
        </w:tc>
        <w:tc>
          <w:tcPr>
            <w:tcW w:w="1960" w:type="dxa"/>
            <w:vAlign w:val="bottom"/>
            <w:gridSpan w:val="3"/>
            <w:shd w:val="clear" w:color="auto" w:fill="CFF0FC"/>
          </w:tcPr>
          <w:p>
            <w:pPr>
              <w:ind w:left="100"/>
              <w:spacing w:after="0" w:line="210" w:lineRule="exact"/>
              <w:rPr>
                <w:sz w:val="20"/>
                <w:szCs w:val="20"/>
                <w:color w:val="auto"/>
              </w:rPr>
            </w:pPr>
            <w:r>
              <w:rPr>
                <w:rFonts w:ascii="Times New Roman" w:cs="Times New Roman" w:eastAsia="Times New Roman" w:hAnsi="Times New Roman"/>
                <w:sz w:val="18"/>
                <w:szCs w:val="18"/>
                <w:color w:val="auto"/>
              </w:rPr>
              <w:t xml:space="preserve">FVTPL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00" w:type="dxa"/>
            <w:vAlign w:val="bottom"/>
            <w:shd w:val="clear" w:color="auto" w:fill="CFF0FC"/>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MiniPay Fund</w:t>
            </w:r>
          </w:p>
        </w:tc>
        <w:tc>
          <w:tcPr>
            <w:tcW w:w="6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26.0%</w:t>
            </w:r>
          </w:p>
        </w:tc>
        <w:tc>
          <w:tcPr>
            <w:tcW w:w="6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27.4%</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Associate</w:t>
            </w: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Equity method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8"/>
                <w:szCs w:val="18"/>
                <w:color w:val="auto"/>
              </w:rPr>
            </w:pPr>
          </w:p>
        </w:tc>
      </w:tr>
      <w:tr>
        <w:trPr>
          <w:trHeight w:val="216"/>
        </w:trPr>
        <w:tc>
          <w:tcPr>
            <w:tcW w:w="3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nHorizon Innovation</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29.1%</w:t>
            </w:r>
          </w:p>
        </w:tc>
        <w:tc>
          <w:tcPr>
            <w:tcW w:w="6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29.1%</w:t>
            </w:r>
          </w:p>
        </w:tc>
        <w:tc>
          <w:tcPr>
            <w:tcW w:w="1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Associate</w:t>
            </w:r>
          </w:p>
        </w:tc>
        <w:tc>
          <w:tcPr>
            <w:tcW w:w="196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Equity method</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ind w:left="380" w:hanging="372"/>
        <w:spacing w:after="0"/>
        <w:tabs>
          <w:tab w:leader="none" w:pos="3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FVTPL – Fair value through profit or loss.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OPay</w:t>
      </w:r>
    </w:p>
    <w:p>
      <w:pPr>
        <w:spacing w:after="0" w:line="202" w:lineRule="exact"/>
        <w:rPr>
          <w:sz w:val="20"/>
          <w:szCs w:val="20"/>
          <w:color w:val="auto"/>
        </w:rPr>
      </w:pPr>
    </w:p>
    <w:p>
      <w:pPr>
        <w:ind w:right="500" w:firstLine="374"/>
        <w:spacing w:after="0" w:line="266" w:lineRule="auto"/>
        <w:rPr>
          <w:sz w:val="20"/>
          <w:szCs w:val="20"/>
          <w:color w:val="auto"/>
        </w:rPr>
      </w:pPr>
      <w:r>
        <w:rPr>
          <w:rFonts w:ascii="Times New Roman" w:cs="Times New Roman" w:eastAsia="Times New Roman" w:hAnsi="Times New Roman"/>
          <w:sz w:val="18"/>
          <w:szCs w:val="18"/>
          <w:color w:val="auto"/>
        </w:rPr>
        <w:t>OPay is a privately-held fintech company operating in emerging markets across Africa and Asia. It provides digital financial services, including payments, transfers, savings and lending products, and offers point-of-sale services to agents and acquiring services to merchants. Opera holds a combination of ordinary and preferred shares in OPay, representing an ownership interest of 9.5% as of December 31, 2025 (2024: 9.4%).</w:t>
      </w:r>
    </w:p>
    <w:p>
      <w:pPr>
        <w:spacing w:after="0" w:line="135"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Although Opera’s executive chairman also serves as executive chairman of OPay, and an independent director of Opera was appointed to the board of OPay in 2025, management has concluded that Opera does not have significant influence over OPay. The executive chairman serves in OPay in his capacity as a representative of his personal investment entities. The independent director was appointed in an individual capacity, is not a nominee or representative of Opera, and is not bound by any agreement to act on Opera’s behalf. In addition, Opera does not have contractual rights to board representation, participation in policy-making, or access to information beyond that available to other investors. Accordingly, management concluded that Opera does not have the power to participate in the financial and operating policy decisions of OPay.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The fair value of the OPay shares was determined using a probability-weighted expected return model (“PWERM”), which reflects the economic rights of the different share classes, including liquidation preferences and redemption rights. The valuation incorporated multiple potential exit scenarios, including three variations each for initial public offering and private sale transactions, one scenario for dissolution and one for redemption, with estimated equity values ranging from $0.2 billion to $6.0 billion, and expected timing between nine months and two years. The table below shows the estimates for equity values (in millions), period of time until potential liquidity events and probabilities of the respective outcomes: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Equity Value (in millions)</w:t>
            </w:r>
          </w:p>
        </w:tc>
        <w:tc>
          <w:tcPr>
            <w:tcW w:w="120" w:type="dxa"/>
            <w:vAlign w:val="bottom"/>
          </w:tcPr>
          <w:p>
            <w:pPr>
              <w:spacing w:after="0"/>
              <w:rPr>
                <w:sz w:val="18"/>
                <w:szCs w:val="18"/>
                <w:color w:val="auto"/>
              </w:rPr>
            </w:pPr>
          </w:p>
        </w:tc>
        <w:tc>
          <w:tcPr>
            <w:tcW w:w="234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Time Horizon (in years)</w:t>
            </w:r>
          </w:p>
        </w:tc>
        <w:tc>
          <w:tcPr>
            <w:tcW w:w="120" w:type="dxa"/>
            <w:vAlign w:val="bottom"/>
          </w:tcPr>
          <w:p>
            <w:pPr>
              <w:spacing w:after="0"/>
              <w:rPr>
                <w:sz w:val="18"/>
                <w:szCs w:val="18"/>
                <w:color w:val="auto"/>
              </w:rPr>
            </w:pPr>
          </w:p>
        </w:tc>
        <w:tc>
          <w:tcPr>
            <w:tcW w:w="15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Probability</w:t>
            </w:r>
          </w:p>
        </w:tc>
        <w:tc>
          <w:tcPr>
            <w:tcW w:w="760" w:type="dxa"/>
            <w:vAlign w:val="bottom"/>
            <w:tcBorders>
              <w:bottom w:val="single" w:sz="8" w:color="auto"/>
            </w:tcBorders>
          </w:tcPr>
          <w:p>
            <w:pPr>
              <w:spacing w:after="0"/>
              <w:rPr>
                <w:sz w:val="18"/>
                <w:szCs w:val="18"/>
                <w:color w:val="auto"/>
              </w:rPr>
            </w:pPr>
          </w:p>
        </w:tc>
      </w:tr>
      <w:tr>
        <w:trPr>
          <w:trHeight w:val="202"/>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Scenarios</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Initial public offering</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 – $6,000</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 – $6,000</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2</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1.5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transaction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 $5,500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 $5,500</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 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 1.25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Dissolution</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Redemption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79"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The future outcomes were discounted using an estimated cost of equity of 18.5% (2024: 18.9%). Accordingly, the present equity values of the scenarios ranged from $0.2 billion to $4.7 billion, with a probability-weighted present value of $3.4 billion (2024: $3.0 billion). To account for the illiquidity of OPay’s private shares, a judgmental discount for lack of marketability of 10% was applied (2024: 10%). Because the valuation incorporated significant unobservable inputs, it was classified as level 3 in the fair value hierarchy.</w:t>
      </w:r>
    </w:p>
    <w:p>
      <w:pPr>
        <w:spacing w:after="0" w:line="153"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The PWERM valuation was corroborated using a discounted cash flow analysis based on projected revenue growth of 39% over the 2025-2031 period, a terminal growth rate of 6%, and a discount rate of 18.5%. Projected free cash flows reflected expected improvements in operating profitability over the forecasted period.</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provides a reconciliation of the carrying amount of Opera’s investment in OPay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8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January 1</w:t>
            </w:r>
          </w:p>
        </w:tc>
        <w:tc>
          <w:tcPr>
            <w:tcW w:w="3220" w:type="dxa"/>
            <w:vAlign w:val="bottom"/>
            <w:gridSpan w:val="2"/>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253,300</w:t>
            </w:r>
          </w:p>
        </w:tc>
        <w:tc>
          <w:tcPr>
            <w:tcW w:w="110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100" w:type="dxa"/>
            <w:vAlign w:val="bottom"/>
            <w:shd w:val="clear" w:color="auto" w:fill="CFF0FC"/>
          </w:tcPr>
          <w:p>
            <w:pPr>
              <w:spacing w:after="0"/>
              <w:rPr>
                <w:sz w:val="18"/>
                <w:szCs w:val="18"/>
                <w:color w:val="auto"/>
              </w:rPr>
            </w:pPr>
          </w:p>
        </w:tc>
      </w:tr>
      <w:tr>
        <w:trPr>
          <w:trHeight w:val="216"/>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gain on investment</w:t>
            </w:r>
          </w:p>
        </w:tc>
        <w:tc>
          <w:tcPr>
            <w:tcW w:w="20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36,300</w:t>
            </w:r>
          </w:p>
        </w:tc>
        <w:tc>
          <w:tcPr>
            <w:tcW w:w="100" w:type="dxa"/>
            <w:vAlign w:val="bottom"/>
          </w:tcPr>
          <w:p>
            <w:pPr>
              <w:spacing w:after="0"/>
              <w:rPr>
                <w:sz w:val="18"/>
                <w:szCs w:val="18"/>
                <w:color w:val="auto"/>
              </w:rPr>
            </w:pPr>
          </w:p>
        </w:tc>
      </w:tr>
      <w:tr>
        <w:trPr>
          <w:trHeight w:val="250"/>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w:t>
            </w:r>
          </w:p>
        </w:tc>
        <w:tc>
          <w:tcPr>
            <w:tcW w:w="204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258,300</w:t>
            </w:r>
          </w:p>
        </w:tc>
        <w:tc>
          <w:tcPr>
            <w:tcW w:w="3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shows the individual sensitivities of key unobservable inputs to the fair value measurement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159"/>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jc w:val="right"/>
              <w:ind w:right="620"/>
              <w:spacing w:after="0" w:line="159" w:lineRule="exact"/>
              <w:rPr>
                <w:sz w:val="20"/>
                <w:szCs w:val="20"/>
                <w:color w:val="auto"/>
              </w:rPr>
            </w:pPr>
            <w:r>
              <w:rPr>
                <w:rFonts w:ascii="Times New Roman" w:cs="Times New Roman" w:eastAsia="Times New Roman" w:hAnsi="Times New Roman"/>
                <w:sz w:val="16"/>
                <w:szCs w:val="16"/>
                <w:b w:val="1"/>
                <w:bCs w:val="1"/>
                <w:color w:val="auto"/>
              </w:rPr>
              <w:t>Change in</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40"/>
              <w:spacing w:after="0" w:line="159" w:lineRule="exact"/>
              <w:rPr>
                <w:sz w:val="20"/>
                <w:szCs w:val="20"/>
                <w:color w:val="auto"/>
              </w:rPr>
            </w:pPr>
            <w:r>
              <w:rPr>
                <w:rFonts w:ascii="Times New Roman" w:cs="Times New Roman" w:eastAsia="Times New Roman" w:hAnsi="Times New Roman"/>
                <w:sz w:val="16"/>
                <w:szCs w:val="16"/>
                <w:b w:val="1"/>
                <w:bCs w:val="1"/>
                <w:color w:val="auto"/>
              </w:rPr>
              <w:t>Decrease in</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53"/>
              <w:spacing w:after="0" w:line="159" w:lineRule="exact"/>
              <w:rPr>
                <w:sz w:val="20"/>
                <w:szCs w:val="20"/>
                <w:color w:val="auto"/>
              </w:rPr>
            </w:pPr>
            <w:r>
              <w:rPr>
                <w:rFonts w:ascii="Times New Roman" w:cs="Times New Roman" w:eastAsia="Times New Roman" w:hAnsi="Times New Roman"/>
                <w:sz w:val="16"/>
                <w:szCs w:val="16"/>
                <w:b w:val="1"/>
                <w:bCs w:val="1"/>
                <w:color w:val="auto"/>
              </w:rPr>
              <w:t>Increase in</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Decrease in</w:t>
            </w: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133"/>
              <w:spacing w:after="0" w:line="159" w:lineRule="exact"/>
              <w:rPr>
                <w:sz w:val="20"/>
                <w:szCs w:val="20"/>
                <w:color w:val="auto"/>
              </w:rPr>
            </w:pPr>
            <w:r>
              <w:rPr>
                <w:rFonts w:ascii="Times New Roman" w:cs="Times New Roman" w:eastAsia="Times New Roman" w:hAnsi="Times New Roman"/>
                <w:sz w:val="16"/>
                <w:szCs w:val="16"/>
                <w:b w:val="1"/>
                <w:bCs w:val="1"/>
                <w:color w:val="auto"/>
              </w:rPr>
              <w:t>Increase in</w:t>
            </w:r>
          </w:p>
        </w:tc>
        <w:tc>
          <w:tcPr>
            <w:tcW w:w="100" w:type="dxa"/>
            <w:vAlign w:val="bottom"/>
          </w:tcPr>
          <w:p>
            <w:pPr>
              <w:spacing w:after="0"/>
              <w:rPr>
                <w:sz w:val="13"/>
                <w:szCs w:val="13"/>
                <w:color w:val="auto"/>
              </w:rPr>
            </w:pPr>
          </w:p>
        </w:tc>
      </w:tr>
      <w:tr>
        <w:trPr>
          <w:trHeight w:val="24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tc>
        <w:tc>
          <w:tcPr>
            <w:tcW w:w="120" w:type="dxa"/>
            <w:vAlign w:val="bottom"/>
          </w:tcPr>
          <w:p>
            <w:pPr>
              <w:spacing w:after="0"/>
              <w:rPr>
                <w:sz w:val="21"/>
                <w:szCs w:val="21"/>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 xml:space="preserve">Assumption </w:t>
            </w:r>
            <w:r>
              <w:rPr>
                <w:rFonts w:ascii="Times New Roman" w:cs="Times New Roman" w:eastAsia="Times New Roman" w:hAnsi="Times New Roman"/>
                <w:sz w:val="21"/>
                <w:szCs w:val="21"/>
                <w:b w:val="1"/>
                <w:bCs w:val="1"/>
                <w:color w:val="auto"/>
                <w:vertAlign w:val="superscript"/>
              </w:rPr>
              <w:t>(1)</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Assumption</w:t>
            </w:r>
          </w:p>
        </w:tc>
        <w:tc>
          <w:tcPr>
            <w:tcW w:w="100" w:type="dxa"/>
            <w:vAlign w:val="bottom"/>
          </w:tcPr>
          <w:p>
            <w:pPr>
              <w:spacing w:after="0"/>
              <w:rPr>
                <w:sz w:val="21"/>
                <w:szCs w:val="21"/>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equity value</w:t>
            </w:r>
          </w:p>
        </w:tc>
        <w:tc>
          <w:tcPr>
            <w:tcW w:w="17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(25,495)</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(29,238)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29,238</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Time to exit</w:t>
            </w:r>
          </w:p>
        </w:tc>
        <w:tc>
          <w:tcPr>
            <w:tcW w:w="12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 months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23,110</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(21,417)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(23,968)</w:t>
            </w:r>
          </w:p>
        </w:tc>
      </w:tr>
      <w:tr>
        <w:trPr>
          <w:trHeight w:val="216"/>
        </w:trPr>
        <w:tc>
          <w:tcPr>
            <w:tcW w:w="39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Relative change in probability of sale </w:t>
            </w:r>
            <w:r>
              <w:rPr>
                <w:rFonts w:ascii="Times New Roman" w:cs="Times New Roman" w:eastAsia="Times New Roman" w:hAnsi="Times New Roman"/>
                <w:sz w:val="24"/>
                <w:szCs w:val="24"/>
                <w:color w:val="auto"/>
                <w:vertAlign w:val="superscript"/>
              </w:rPr>
              <w:t>(2)</w:t>
            </w:r>
          </w:p>
        </w:tc>
        <w:tc>
          <w:tcPr>
            <w:tcW w:w="17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(826)</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12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 pp</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14,350</w:t>
            </w:r>
          </w:p>
        </w:tc>
        <w:tc>
          <w:tcPr>
            <w:tcW w:w="16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(16,365)</w:t>
            </w: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 pp</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6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(6,657)</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(6,217)</w:t>
            </w:r>
          </w:p>
        </w:tc>
      </w:tr>
      <w:tr>
        <w:trPr>
          <w:trHeight w:val="22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ind w:left="380" w:hanging="372"/>
        <w:spacing w:after="0"/>
        <w:tabs>
          <w:tab w:leader="none" w:pos="3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pp – percentage points.</w:t>
      </w:r>
    </w:p>
    <w:p>
      <w:pPr>
        <w:spacing w:after="0" w:line="8"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 relative change in the probabilities of sale scenarios, offset by an equal change in the probabilities of initial public offering scenarios.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MiniPay Fund</w:t>
      </w:r>
    </w:p>
    <w:p>
      <w:pPr>
        <w:spacing w:after="0" w:line="189"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The MiniPay Fund is a venture fund established in the second half of 2024 to invest in companies operating in the stablecoin ecosystem associated with Opera’s MiniPay platform. The fund is managed by Verda Ventures. Opera invested $1.25 million in the fund in 2024 and an additional $2.5 million in 2025. As a result, Opera held a 26.0% and 27.4% ownership interest in the fund as of December 31, 2024, and 2025, respectively. As of December 31, 2025, Opera had an outstanding capital commitment of $6.25 million.</w:t>
      </w:r>
    </w:p>
    <w:p>
      <w:pPr>
        <w:spacing w:after="0" w:line="153"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The MiniPay Fund is classified as an associate and accounted for using the equity method, as Opera has a representation on the fund’s investment committee and thus has the ability to participate in relevant financial and operating policy decisions.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summarized financial position data for the MiniPay Fund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780" w:type="dxa"/>
            <w:vAlign w:val="bottom"/>
            <w:gridSpan w:val="2"/>
            <w:shd w:val="clear" w:color="auto" w:fill="CFF0FC"/>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3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14,596</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49"/>
        </w:trPr>
        <w:tc>
          <w:tcPr>
            <w:tcW w:w="4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48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5"/>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Opera’s share of net assets</w:t>
            </w:r>
          </w:p>
        </w:tc>
        <w:tc>
          <w:tcPr>
            <w:tcW w:w="3780" w:type="dxa"/>
            <w:vAlign w:val="bottom"/>
            <w:gridSpan w:val="2"/>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320" w:type="dxa"/>
            <w:vAlign w:val="bottom"/>
          </w:tcPr>
          <w:p>
            <w:pPr>
              <w:spacing w:after="0"/>
              <w:rPr>
                <w:sz w:val="18"/>
                <w:szCs w:val="18"/>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-173990</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-156845</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summarized income data of the MiniPay Fund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w:t>
            </w:r>
          </w:p>
        </w:tc>
        <w:tc>
          <w:tcPr>
            <w:tcW w:w="2740" w:type="dxa"/>
            <w:vAlign w:val="bottom"/>
            <w:gridSpan w:val="2"/>
            <w:shd w:val="clear" w:color="auto" w:fill="CFF0FC"/>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1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w:t>
            </w: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42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540" w:type="dxa"/>
            <w:vAlign w:val="bottom"/>
            <w:tcBorders>
              <w:top w:val="single" w:sz="8" w:color="CFF0FC"/>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01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top w:val="single" w:sz="8" w:color="CFF0FC"/>
            </w:tcBorders>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7"/>
                <w:szCs w:val="17"/>
                <w:color w:val="auto"/>
              </w:rPr>
              <w:t xml:space="preserve">Opera’s share of net income (loss) </w:t>
            </w:r>
            <w:r>
              <w:rPr>
                <w:rFonts w:ascii="Times New Roman" w:cs="Times New Roman" w:eastAsia="Times New Roman" w:hAnsi="Times New Roman"/>
                <w:sz w:val="22"/>
                <w:szCs w:val="22"/>
                <w:color w:val="auto"/>
                <w:vertAlign w:val="superscript"/>
              </w:rPr>
              <w:t>(1)</w:t>
            </w:r>
          </w:p>
        </w:tc>
        <w:tc>
          <w:tcPr>
            <w:tcW w:w="2740" w:type="dxa"/>
            <w:vAlign w:val="bottom"/>
            <w:gridSpan w:val="2"/>
            <w:shd w:val="clear" w:color="auto" w:fill="CFF0FC"/>
          </w:tcPr>
          <w:p>
            <w:pPr>
              <w:jc w:val="right"/>
              <w:ind w:right="1015"/>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24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-307975</wp:posOffset>
            </wp:positionV>
            <wp:extent cx="768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-307975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 w:lineRule="exact"/>
        <w:rPr>
          <w:sz w:val="20"/>
          <w:szCs w:val="20"/>
          <w:color w:val="auto"/>
        </w:rPr>
      </w:pPr>
    </w:p>
    <w:p>
      <w:pPr>
        <w:ind w:left="380" w:right="100" w:hanging="372"/>
        <w:spacing w:after="0" w:line="280" w:lineRule="auto"/>
        <w:tabs>
          <w:tab w:leader="none" w:pos="38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certain other investors in the MiniPay Fund contribute in-kind services instead of paying the asset management fee in cash, Opera’s share of the fund’s net income (loss) deviates from Opera’s ownership interest.</w:t>
      </w:r>
    </w:p>
    <w:p>
      <w:pPr>
        <w:spacing w:after="0" w:line="173"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table below shows a reconciliation of the carrying amount of Opera’s net investment in the MiniPay Fund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9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69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January 1</w:t>
            </w:r>
          </w:p>
        </w:tc>
        <w:tc>
          <w:tcPr>
            <w:tcW w:w="1160" w:type="dxa"/>
            <w:vAlign w:val="bottom"/>
            <w:shd w:val="clear" w:color="auto" w:fill="CFF0FC"/>
          </w:tcPr>
          <w:p>
            <w:pPr>
              <w:jc w:val="right"/>
              <w:ind w:right="99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w:t>
            </w:r>
          </w:p>
        </w:tc>
        <w:tc>
          <w:tcPr>
            <w:tcW w:w="1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r>
      <w:tr>
        <w:trPr>
          <w:trHeight w:val="216"/>
        </w:trPr>
        <w:tc>
          <w:tcPr>
            <w:tcW w:w="69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of net income (loss)</w:t>
            </w:r>
          </w:p>
        </w:tc>
        <w:tc>
          <w:tcPr>
            <w:tcW w:w="1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8"/>
                <w:szCs w:val="18"/>
                <w:color w:val="auto"/>
              </w:rPr>
            </w:pPr>
          </w:p>
        </w:tc>
      </w:tr>
      <w:tr>
        <w:trPr>
          <w:trHeight w:val="20"/>
        </w:trPr>
        <w:tc>
          <w:tcPr>
            <w:tcW w:w="6920" w:type="dxa"/>
            <w:vAlign w:val="bottom"/>
            <w:tcBorders>
              <w:right w:val="single" w:sz="8" w:color="CFF0FC"/>
            </w:tcBorders>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amount as of December 31</w:t>
            </w:r>
          </w:p>
        </w:tc>
        <w:tc>
          <w:tcPr>
            <w:tcW w:w="1160" w:type="dxa"/>
            <w:vAlign w:val="bottom"/>
            <w:tcBorders>
              <w:bottom w:val="single" w:sz="8" w:color="auto"/>
            </w:tcBorders>
          </w:tcPr>
          <w:p>
            <w:pPr>
              <w:jc w:val="right"/>
              <w:ind w:right="99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nHorizon Innovation</w:t>
      </w:r>
    </w:p>
    <w:p>
      <w:pPr>
        <w:spacing w:after="0" w:line="202"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Opera holds a 29.1% ownership interest in nHorizon Innovation, which is classified as an associate and accounted for using the equity method. As Opera’s accumulated share of losses has reduced the carrying amount of the investment to zero, no further share of loss was recognized in 2025. The unrecognized share of loss for the year was $11 thousand, and the accumulated unrecognized share of losses amounted to $0.2 million as of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Trade and Other Receivables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02"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Trade receivables that do not contain a significant financing component are initially recognized at the transaction price determined in accordance with the accounting policies for revenue (see Note 3). Other receivables are initially recognized at fair values plus transaction costs, except for receivables measured at fair value through profit or loss (“FVTPL”), for which transaction costs are expensed as incurred.</w:t>
      </w:r>
    </w:p>
    <w:p>
      <w:pPr>
        <w:spacing w:after="0" w:line="135"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On initial recognition, receivables are classified as subsequently measured at amortized cost or at FVTPL based on Opera’s business model and the contractual cash flow characteristics. Receivables held to collect contractual cash flows that represent solely payments of principal and interest are measured at amortized cost. All other receivables are measured at FVTPL, with changes in fair value recognized in finance income or finance expense.</w:t>
      </w:r>
    </w:p>
    <w:p>
      <w:pPr>
        <w:spacing w:after="0" w:line="135"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Loss allowances are recognized for receivables measured at amortized cost using the expected credit loss (“ECL”) model. ECLs represent the present value of the difference between contractual cash flows and the cash flows expected to be received, discounted at the original effective interest rate.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60" w:firstLine="374"/>
        <w:spacing w:after="0" w:line="266" w:lineRule="auto"/>
        <w:rPr>
          <w:sz w:val="20"/>
          <w:szCs w:val="20"/>
          <w:color w:val="auto"/>
        </w:rPr>
      </w:pPr>
      <w:r>
        <w:rPr>
          <w:rFonts w:ascii="Times New Roman" w:cs="Times New Roman" w:eastAsia="Times New Roman" w:hAnsi="Times New Roman"/>
          <w:sz w:val="18"/>
          <w:szCs w:val="18"/>
          <w:color w:val="auto"/>
        </w:rPr>
        <w:t>Opera applies the simplified approach to trade receivables and recognizes lifetime ECLs at each reporting date. Loss allowances are determined either on an individual basis where specific credit risk information is available, or collectively using a provision matrix based on historical loss experience adjusted for forward-looking information.</w:t>
      </w:r>
    </w:p>
    <w:p>
      <w:pPr>
        <w:spacing w:after="0" w:line="149"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Receivables are written off when there is no reasonable expectation of recovery, typically indicated by a failure to make payments for over 180 days and the exhaustion of recovery efforts. Impairment losses and subsequent recoveries are presented as credit loss expense within operating profit.</w:t>
      </w:r>
    </w:p>
    <w:p>
      <w:pPr>
        <w:spacing w:after="0" w:line="121" w:lineRule="exact"/>
        <w:rPr>
          <w:sz w:val="20"/>
          <w:szCs w:val="20"/>
          <w:color w:val="auto"/>
        </w:rPr>
      </w:pPr>
    </w:p>
    <w:p>
      <w:pPr>
        <w:ind w:right="460" w:firstLine="374"/>
        <w:spacing w:after="0" w:line="266" w:lineRule="auto"/>
        <w:rPr>
          <w:sz w:val="20"/>
          <w:szCs w:val="20"/>
          <w:color w:val="auto"/>
        </w:rPr>
      </w:pPr>
      <w:r>
        <w:rPr>
          <w:rFonts w:ascii="Times New Roman" w:cs="Times New Roman" w:eastAsia="Times New Roman" w:hAnsi="Times New Roman"/>
          <w:sz w:val="18"/>
          <w:szCs w:val="18"/>
          <w:color w:val="auto"/>
        </w:rPr>
        <w:t>Receivables are derecognized when the contractual rights cash flows expire or are transferred together with substantially all risks and rewards of ownership. Gains or loss on derecognition are recognized in profit or loss. Contract modifications are assessed to determine whether they result in substantially different cash flows; if so, the original receivables is derecognized and a new receivables is recognized.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Receivables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a disaggregation of trade receivables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 due from third-party customers</w:t>
            </w:r>
          </w:p>
        </w:tc>
        <w:tc>
          <w:tcPr>
            <w:tcW w:w="2860" w:type="dxa"/>
            <w:vAlign w:val="bottom"/>
            <w:gridSpan w:val="2"/>
            <w:shd w:val="clear" w:color="auto" w:fill="CFF0FC"/>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97,290</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113,180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due from related parties (Note 17)</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713</w:t>
            </w:r>
          </w:p>
        </w:tc>
        <w:tc>
          <w:tcPr>
            <w:tcW w:w="6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5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gross trade receivables</w:t>
            </w:r>
          </w:p>
        </w:tc>
        <w:tc>
          <w:tcPr>
            <w:tcW w:w="15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98,003</w:t>
            </w:r>
          </w:p>
        </w:tc>
        <w:tc>
          <w:tcPr>
            <w:tcW w:w="6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113,510</w:t>
            </w:r>
          </w:p>
        </w:tc>
      </w:tr>
      <w:tr>
        <w:trPr>
          <w:trHeight w:val="20"/>
        </w:trPr>
        <w:tc>
          <w:tcPr>
            <w:tcW w:w="534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(5,180)</w:t>
            </w:r>
          </w:p>
        </w:tc>
        <w:tc>
          <w:tcPr>
            <w:tcW w:w="6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w:t>
            </w:r>
          </w:p>
        </w:tc>
      </w:tr>
      <w:tr>
        <w:trPr>
          <w:trHeight w:val="20"/>
        </w:trPr>
        <w:tc>
          <w:tcPr>
            <w:tcW w:w="5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15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11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92,823</w:t>
            </w: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112,593</w:t>
            </w: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-316865</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credit loss allowance was determined as follows (in thousands, except for percentages):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 of December 31, 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300" w:type="dxa"/>
            <w:vAlign w:val="bottom"/>
            <w:vMerge w:val="restart"/>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5"/>
          </w:tcPr>
          <w:p>
            <w:pPr>
              <w:jc w:val="right"/>
              <w:ind w:right="1140"/>
              <w:spacing w:after="0"/>
              <w:rPr>
                <w:sz w:val="20"/>
                <w:szCs w:val="20"/>
                <w:color w:val="auto"/>
              </w:rPr>
            </w:pPr>
            <w:r>
              <w:rPr>
                <w:rFonts w:ascii="Times New Roman" w:cs="Times New Roman" w:eastAsia="Times New Roman" w:hAnsi="Times New Roman"/>
                <w:sz w:val="15"/>
                <w:szCs w:val="15"/>
                <w:b w:val="1"/>
                <w:bCs w:val="1"/>
                <w:color w:val="auto"/>
              </w:rPr>
              <w:t>Past Due</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restart"/>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&lt;30 Days</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57"/>
              <w:spacing w:after="0" w:line="156" w:lineRule="exact"/>
              <w:rPr>
                <w:sz w:val="20"/>
                <w:szCs w:val="20"/>
                <w:color w:val="auto"/>
              </w:rPr>
            </w:pPr>
            <w:r>
              <w:rPr>
                <w:rFonts w:ascii="Times New Roman" w:cs="Times New Roman" w:eastAsia="Times New Roman" w:hAnsi="Times New Roman"/>
                <w:sz w:val="15"/>
                <w:szCs w:val="15"/>
                <w:b w:val="1"/>
                <w:bCs w:val="1"/>
                <w:color w:val="auto"/>
              </w:rPr>
              <w:t>30-60 Days</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6"/>
              <w:spacing w:after="0" w:line="156" w:lineRule="exact"/>
              <w:rPr>
                <w:sz w:val="20"/>
                <w:szCs w:val="20"/>
                <w:color w:val="auto"/>
              </w:rPr>
            </w:pPr>
            <w:r>
              <w:rPr>
                <w:rFonts w:ascii="Times New Roman" w:cs="Times New Roman" w:eastAsia="Times New Roman" w:hAnsi="Times New Roman"/>
                <w:sz w:val="15"/>
                <w:szCs w:val="15"/>
                <w:b w:val="1"/>
                <w:bCs w:val="1"/>
                <w:color w:val="auto"/>
              </w:rPr>
              <w:t>61-90 Days</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10"/>
              <w:spacing w:after="0" w:line="156" w:lineRule="exact"/>
              <w:rPr>
                <w:sz w:val="20"/>
                <w:szCs w:val="20"/>
                <w:color w:val="auto"/>
              </w:rPr>
            </w:pPr>
            <w:r>
              <w:rPr>
                <w:rFonts w:ascii="Times New Roman" w:cs="Times New Roman" w:eastAsia="Times New Roman" w:hAnsi="Times New Roman"/>
                <w:sz w:val="15"/>
                <w:szCs w:val="15"/>
                <w:b w:val="1"/>
                <w:bCs w:val="1"/>
                <w:color w:val="auto"/>
              </w:rPr>
              <w:t>&gt;90 Days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expected credit loss rate</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0.7 %</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80.8 %</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5.3 %</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Gross carrying amount of trade receivables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85,973</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30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20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Loss allowance as of December 31, 2024</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5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As of December 31, 2025: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300" w:type="dxa"/>
            <w:vAlign w:val="bottom"/>
            <w:vMerge w:val="restart"/>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1140"/>
              <w:spacing w:after="0"/>
              <w:rPr>
                <w:sz w:val="20"/>
                <w:szCs w:val="20"/>
                <w:color w:val="auto"/>
              </w:rPr>
            </w:pPr>
            <w:r>
              <w:rPr>
                <w:rFonts w:ascii="Times New Roman" w:cs="Times New Roman" w:eastAsia="Times New Roman" w:hAnsi="Times New Roman"/>
                <w:sz w:val="15"/>
                <w:szCs w:val="15"/>
                <w:b w:val="1"/>
                <w:bCs w:val="1"/>
                <w:color w:val="auto"/>
              </w:rPr>
              <w:t>Past Due</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vMerge w:val="restart"/>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8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54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20"/>
              <w:spacing w:after="0" w:line="156" w:lineRule="exact"/>
              <w:rPr>
                <w:sz w:val="20"/>
                <w:szCs w:val="20"/>
                <w:color w:val="auto"/>
              </w:rPr>
            </w:pPr>
            <w:r>
              <w:rPr>
                <w:rFonts w:ascii="Times New Roman" w:cs="Times New Roman" w:eastAsia="Times New Roman" w:hAnsi="Times New Roman"/>
                <w:sz w:val="15"/>
                <w:szCs w:val="15"/>
                <w:b w:val="1"/>
                <w:bCs w:val="1"/>
                <w:color w:val="auto"/>
              </w:rPr>
              <w:t>&lt;30 Days</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57"/>
              <w:spacing w:after="0" w:line="156" w:lineRule="exact"/>
              <w:rPr>
                <w:sz w:val="20"/>
                <w:szCs w:val="20"/>
                <w:color w:val="auto"/>
              </w:rPr>
            </w:pPr>
            <w:r>
              <w:rPr>
                <w:rFonts w:ascii="Times New Roman" w:cs="Times New Roman" w:eastAsia="Times New Roman" w:hAnsi="Times New Roman"/>
                <w:sz w:val="15"/>
                <w:szCs w:val="15"/>
                <w:b w:val="1"/>
                <w:bCs w:val="1"/>
                <w:color w:val="auto"/>
              </w:rPr>
              <w:t>30-60 Days</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6"/>
              <w:spacing w:after="0" w:line="156" w:lineRule="exact"/>
              <w:rPr>
                <w:sz w:val="20"/>
                <w:szCs w:val="20"/>
                <w:color w:val="auto"/>
              </w:rPr>
            </w:pPr>
            <w:r>
              <w:rPr>
                <w:rFonts w:ascii="Times New Roman" w:cs="Times New Roman" w:eastAsia="Times New Roman" w:hAnsi="Times New Roman"/>
                <w:sz w:val="15"/>
                <w:szCs w:val="15"/>
                <w:b w:val="1"/>
                <w:bCs w:val="1"/>
                <w:color w:val="auto"/>
              </w:rPr>
              <w:t>61-90 Days</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10"/>
              <w:spacing w:after="0" w:line="156" w:lineRule="exact"/>
              <w:rPr>
                <w:sz w:val="20"/>
                <w:szCs w:val="20"/>
                <w:color w:val="auto"/>
              </w:rPr>
            </w:pPr>
            <w:r>
              <w:rPr>
                <w:rFonts w:ascii="Times New Roman" w:cs="Times New Roman" w:eastAsia="Times New Roman" w:hAnsi="Times New Roman"/>
                <w:sz w:val="15"/>
                <w:szCs w:val="15"/>
                <w:b w:val="1"/>
                <w:bCs w:val="1"/>
                <w:color w:val="auto"/>
              </w:rPr>
              <w:t>&gt;90 Days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expected credit loss rate</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0.8 %</w:t>
            </w:r>
          </w:p>
        </w:tc>
        <w:tc>
          <w:tcPr>
            <w:tcW w:w="1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48.1 %</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Gross carrying amount of trade receivables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106,219</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3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300" w:type="dxa"/>
            <w:vAlign w:val="bottom"/>
          </w:tcPr>
          <w:p>
            <w:pPr>
              <w:spacing w:after="0"/>
              <w:rPr>
                <w:sz w:val="17"/>
                <w:szCs w:val="17"/>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200" w:type="dxa"/>
            <w:vAlign w:val="bottom"/>
          </w:tcPr>
          <w:p>
            <w:pPr>
              <w:spacing w:after="0"/>
              <w:rPr>
                <w:sz w:val="17"/>
                <w:szCs w:val="17"/>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Loss allowance as of December 31, 2025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60" w:type="dxa"/>
            <w:vAlign w:val="bottom"/>
            <w:gridSpan w:val="20"/>
          </w:tcPr>
          <w:p>
            <w:pPr>
              <w:ind w:left="380"/>
              <w:spacing w:after="0"/>
              <w:rPr>
                <w:sz w:val="20"/>
                <w:szCs w:val="20"/>
                <w:color w:val="auto"/>
              </w:rPr>
            </w:pPr>
            <w:r>
              <w:rPr>
                <w:rFonts w:ascii="Times New Roman" w:cs="Times New Roman" w:eastAsia="Times New Roman" w:hAnsi="Times New Roman"/>
                <w:sz w:val="18"/>
                <w:szCs w:val="18"/>
                <w:color w:val="auto"/>
              </w:rPr>
              <w:t>The credit loss allowance for trade receivables as of year-end reconciles to the opening loss allowance as follows (in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allowance as of January 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(1,982)</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(4,084)</w:t>
            </w: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Increase (decrease) in loss allowance</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allowance as of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8"/>
            <w:vMerge w:val="restart"/>
          </w:tcPr>
          <w:p>
            <w:pPr>
              <w:ind w:left="380"/>
              <w:spacing w:after="0"/>
              <w:rPr>
                <w:sz w:val="20"/>
                <w:szCs w:val="20"/>
                <w:color w:val="auto"/>
              </w:rPr>
            </w:pPr>
            <w:r>
              <w:rPr>
                <w:rFonts w:ascii="Times New Roman" w:cs="Times New Roman" w:eastAsia="Times New Roman" w:hAnsi="Times New Roman"/>
                <w:sz w:val="18"/>
                <w:szCs w:val="18"/>
                <w:color w:val="auto"/>
              </w:rPr>
              <w:t>See Note 15 for information about how Opera manages credit risk.</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gridSpan w:val="8"/>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Receivables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20" w:type="dxa"/>
            <w:vAlign w:val="bottom"/>
            <w:gridSpan w:val="8"/>
          </w:tcPr>
          <w:p>
            <w:pPr>
              <w:ind w:left="380"/>
              <w:spacing w:after="0"/>
              <w:rPr>
                <w:sz w:val="20"/>
                <w:szCs w:val="20"/>
                <w:color w:val="auto"/>
              </w:rPr>
            </w:pPr>
            <w:r>
              <w:rPr>
                <w:rFonts w:ascii="Times New Roman" w:cs="Times New Roman" w:eastAsia="Times New Roman" w:hAnsi="Times New Roman"/>
                <w:sz w:val="18"/>
                <w:szCs w:val="18"/>
                <w:color w:val="auto"/>
              </w:rPr>
              <w:t>The table below presents the items of other current receivables (in thousands):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current receivables</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-3693795</wp:posOffset>
            </wp:positionV>
            <wp:extent cx="12001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-3676650</wp:posOffset>
            </wp:positionV>
            <wp:extent cx="12001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-3693795</wp:posOffset>
            </wp:positionV>
            <wp:extent cx="12001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-3676650</wp:posOffset>
            </wp:positionV>
            <wp:extent cx="12001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-3693795</wp:posOffset>
            </wp:positionV>
            <wp:extent cx="12001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-3676650</wp:posOffset>
            </wp:positionV>
            <wp:extent cx="12001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-3693795</wp:posOffset>
            </wp:positionV>
            <wp:extent cx="12001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-3676650</wp:posOffset>
            </wp:positionV>
            <wp:extent cx="12001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-3693795</wp:posOffset>
            </wp:positionV>
            <wp:extent cx="12001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-3676650</wp:posOffset>
            </wp:positionV>
            <wp:extent cx="12001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-3693795</wp:posOffset>
            </wp:positionV>
            <wp:extent cx="12001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-3676650</wp:posOffset>
            </wp:positionV>
            <wp:extent cx="12001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-2922270</wp:posOffset>
            </wp:positionV>
            <wp:extent cx="12001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-2905125</wp:posOffset>
            </wp:positionV>
            <wp:extent cx="12001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-2922270</wp:posOffset>
            </wp:positionV>
            <wp:extent cx="12001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-2905125</wp:posOffset>
            </wp:positionV>
            <wp:extent cx="12001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-2922270</wp:posOffset>
            </wp:positionV>
            <wp:extent cx="12001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-2905125</wp:posOffset>
            </wp:positionV>
            <wp:extent cx="12001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-2922270</wp:posOffset>
            </wp:positionV>
            <wp:extent cx="12001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-2905125</wp:posOffset>
            </wp:positionV>
            <wp:extent cx="12001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-2922270</wp:posOffset>
            </wp:positionV>
            <wp:extent cx="12001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-2905125</wp:posOffset>
            </wp:positionV>
            <wp:extent cx="12001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-2922270</wp:posOffset>
            </wp:positionV>
            <wp:extent cx="12001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-2905125</wp:posOffset>
            </wp:positionV>
            <wp:extent cx="12001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For contracts that are, or contain, a lease, Opera recognizes a lease liability and a right-of-use asset at the lease commencement date, except for short-term leases of 12 months or less and leases of low-value assets, which are expensed on a straight-line over the lease term.</w:t>
      </w:r>
    </w:p>
    <w:p>
      <w:pPr>
        <w:spacing w:after="0" w:line="121"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The lease liability is initially measured at the present value of lease payments over the lease term, including fixed payments, variable lease payments that depend on an index or rate, amounts expected to be payable under residual value guarantees, and the exercise price of purchase options and termination penalties when the exercise of such options is reasonably certain.</w:t>
      </w:r>
    </w:p>
    <w:p>
      <w:pPr>
        <w:spacing w:after="0" w:line="149" w:lineRule="exact"/>
        <w:rPr>
          <w:sz w:val="20"/>
          <w:szCs w:val="20"/>
          <w:color w:val="auto"/>
        </w:rPr>
      </w:pPr>
    </w:p>
    <w:p>
      <w:pPr>
        <w:ind w:right="80" w:firstLine="374"/>
        <w:spacing w:after="0" w:line="282" w:lineRule="auto"/>
        <w:rPr>
          <w:sz w:val="20"/>
          <w:szCs w:val="20"/>
          <w:color w:val="auto"/>
        </w:rPr>
      </w:pPr>
      <w:r>
        <w:rPr>
          <w:rFonts w:ascii="Times New Roman" w:cs="Times New Roman" w:eastAsia="Times New Roman" w:hAnsi="Times New Roman"/>
          <w:sz w:val="18"/>
          <w:szCs w:val="18"/>
          <w:color w:val="auto"/>
        </w:rPr>
        <w:t>Lease payments are discounted using Opera’s incremental borrowing rate, determined using a build-up approach based on a risk-free rate adjusted for credit risk and other lease-specific factors, including term, currency, geographic location and collateral.</w:t>
      </w:r>
    </w:p>
    <w:p>
      <w:pPr>
        <w:spacing w:after="0" w:line="121"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After commencement, the lease liability is increased for interest accretion and reduced by lease payments made. The lease liability is remeasured upon changes in future lease payments resulting from contract modifications, changes in an index or rate, or reassessments of purchase options.</w:t>
      </w:r>
    </w:p>
    <w:p>
      <w:pPr>
        <w:spacing w:after="0" w:line="121" w:lineRule="exact"/>
        <w:rPr>
          <w:sz w:val="20"/>
          <w:szCs w:val="20"/>
          <w:color w:val="auto"/>
        </w:rPr>
      </w:pPr>
    </w:p>
    <w:p>
      <w:pPr>
        <w:ind w:right="60" w:firstLine="374"/>
        <w:spacing w:after="0" w:line="261" w:lineRule="auto"/>
        <w:rPr>
          <w:sz w:val="20"/>
          <w:szCs w:val="20"/>
          <w:color w:val="auto"/>
        </w:rPr>
      </w:pPr>
      <w:r>
        <w:rPr>
          <w:rFonts w:ascii="Times New Roman" w:cs="Times New Roman" w:eastAsia="Times New Roman" w:hAnsi="Times New Roman"/>
          <w:sz w:val="18"/>
          <w:szCs w:val="18"/>
          <w:color w:val="auto"/>
        </w:rPr>
        <w:t>The right-of-use asset is initially measured at cost, comprising the initial lease liability adjusted for lease payments made at or before commencement, initial direct costs, estimated restoration obligations and lease incentives received. Right-of-use assets are presented within property and equipment according to the nature of the underlying asset and are depreciated on a straight-line basis over the shorter of the lease term and the asset’s estimated useful life (see Note 9). Remeasurements of the lease liability result in corresponding adjustments to the right-of-use asset.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Opera leases office premises and equipment, including servers and network equipment. Lease terms are negotiated on an individual basis and vary in duration and conditions. Leases generally have fixed terms ranging from six months to seven years, and certain leases include extension and early termination options designed to provide operational flexibility. Most extension and termination options are exercisable by Opera.</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the amounts of lease liabilities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920" w:type="dxa"/>
            <w:vAlign w:val="bottom"/>
            <w:gridSpan w:val="2"/>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5,631</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4,544</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lease liabilities</w:t>
            </w:r>
          </w:p>
        </w:tc>
        <w:tc>
          <w:tcPr>
            <w:tcW w:w="9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00" w:type="dxa"/>
            <w:vAlign w:val="bottom"/>
          </w:tcPr>
          <w:p>
            <w:pPr>
              <w:spacing w:after="0"/>
              <w:rPr>
                <w:sz w:val="18"/>
                <w:szCs w:val="18"/>
                <w:color w:val="auto"/>
              </w:rPr>
            </w:pPr>
          </w:p>
        </w:tc>
      </w:tr>
      <w:tr>
        <w:trPr>
          <w:trHeight w:val="250"/>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920" w:type="dxa"/>
            <w:vAlign w:val="bottom"/>
            <w:gridSpan w:val="2"/>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9,586</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8,410</w:t>
            </w:r>
          </w:p>
        </w:tc>
      </w:tr>
      <w:tr>
        <w:trPr>
          <w:trHeight w:val="413"/>
        </w:trPr>
        <w:tc>
          <w:tcPr>
            <w:tcW w:w="68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See Note 15 for a maturity analysis of lease and other financial liabilities.</w:t>
            </w:r>
          </w:p>
        </w:tc>
        <w:tc>
          <w:tcPr>
            <w:tcW w:w="94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05"/>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Set out below are the carrying amounts of right-of-use assets (in thousands):</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6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premises</w:t>
            </w:r>
          </w:p>
        </w:tc>
        <w:tc>
          <w:tcPr>
            <w:tcW w:w="1920" w:type="dxa"/>
            <w:vAlign w:val="bottom"/>
            <w:gridSpan w:val="2"/>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5,600</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5,498</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9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8"/>
                <w:szCs w:val="18"/>
                <w:color w:val="auto"/>
              </w:rPr>
            </w:pPr>
          </w:p>
        </w:tc>
      </w:tr>
      <w:tr>
        <w:trPr>
          <w:trHeight w:val="230"/>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right-of-use assets</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7,513</w:t>
            </w:r>
          </w:p>
        </w:tc>
      </w:tr>
      <w:tr>
        <w:trPr>
          <w:trHeight w:val="20"/>
        </w:trPr>
        <w:tc>
          <w:tcPr>
            <w:tcW w:w="6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-1413510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-1396365</wp:posOffset>
            </wp:positionV>
            <wp:extent cx="685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Additions to right-of-use assets totaled $3.9 million in 2024 and $2.7 million in 2025. See Note 9 for additional details on right-of-use assets.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Statement of Operations has the following amounts relating to leases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 of right-of-use assets presented as property</w:t>
            </w:r>
          </w:p>
        </w:tc>
        <w:tc>
          <w:tcPr>
            <w:tcW w:w="840" w:type="dxa"/>
            <w:vAlign w:val="bottom"/>
            <w:shd w:val="clear" w:color="auto" w:fill="CFF0FC"/>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8"/>
              </w:rPr>
              <w:t>(1,664)</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(1,838)</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 of right-of-use assets presented as equipment</w:t>
            </w:r>
          </w:p>
        </w:tc>
        <w:tc>
          <w:tcPr>
            <w:tcW w:w="840" w:type="dxa"/>
            <w:vAlign w:val="bottom"/>
          </w:tcPr>
          <w:p>
            <w:pPr>
              <w:spacing w:after="0"/>
              <w:rPr>
                <w:sz w:val="18"/>
                <w:szCs w:val="18"/>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w w:val="98"/>
              </w:rPr>
              <w:t>(1,971)</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(2,514)</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(2,641)</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 relating to short-term leases (included in other operating expenses)</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w w:val="98"/>
              </w:rPr>
              <w:t>(1,254)</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(1,251)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(1,084)</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(included in finance expense)</w:t>
            </w:r>
          </w:p>
        </w:tc>
        <w:tc>
          <w:tcPr>
            <w:tcW w:w="840" w:type="dxa"/>
            <w:vAlign w:val="bottom"/>
          </w:tcPr>
          <w:p>
            <w:pPr>
              <w:spacing w:after="0"/>
              <w:rPr>
                <w:sz w:val="18"/>
                <w:szCs w:val="18"/>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(356)</w:t>
            </w: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(518)</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8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601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r>
      <w:tr>
        <w:trPr>
          <w:trHeight w:val="20"/>
        </w:trPr>
        <w:tc>
          <w:tcPr>
            <w:tcW w:w="66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lease-related expenses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w w:val="98"/>
              </w:rPr>
              <w:t>(5,441)</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(5,520)</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(7,109)</w:t>
            </w: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Total cash outflows for leases were $6.1 million in 2023, $6.5 million in 2024, and $6.4 million in 2025. Payments relating to leases of low-value assets were immaterial.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w:t>
      </w:r>
    </w:p>
    <w:p>
      <w:pPr>
        <w:spacing w:after="0" w:line="189" w:lineRule="exact"/>
        <w:rPr>
          <w:sz w:val="20"/>
          <w:szCs w:val="20"/>
          <w:color w:val="auto"/>
        </w:rPr>
      </w:pPr>
    </w:p>
    <w:p>
      <w:pPr>
        <w:ind w:right="300" w:firstLine="374"/>
        <w:spacing w:after="0" w:line="282" w:lineRule="auto"/>
        <w:rPr>
          <w:sz w:val="20"/>
          <w:szCs w:val="20"/>
          <w:color w:val="auto"/>
        </w:rPr>
      </w:pPr>
      <w:r>
        <w:rPr>
          <w:rFonts w:ascii="Times New Roman" w:cs="Times New Roman" w:eastAsia="Times New Roman" w:hAnsi="Times New Roman"/>
          <w:sz w:val="18"/>
          <w:szCs w:val="18"/>
          <w:color w:val="auto"/>
        </w:rPr>
        <w:t>Certain lease agreements require Opera to provide cash security deposits. As of December 31, 2025, such deposits totaled $1.5 million (2024: $1.3 million). Leased assets may not be used as collateral for borrowing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Trade and Other Payables, and Other Current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89"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Trade payables represent obligations to pay for goods or services that have been received and invoiced or otherwise agreed with suppliers. Trade and other payables and other financial liabilities are derecognized when the obligation is settled, canceled or expires. Liabilities settled in cash through electronic payment systems are derecognized on the settlement date.</w:t>
      </w:r>
    </w:p>
    <w:p>
      <w:pPr>
        <w:spacing w:after="0" w:line="135" w:lineRule="exact"/>
        <w:rPr>
          <w:sz w:val="20"/>
          <w:szCs w:val="20"/>
          <w:color w:val="auto"/>
        </w:rPr>
      </w:pPr>
    </w:p>
    <w:p>
      <w:pPr>
        <w:ind w:right="200" w:firstLine="374"/>
        <w:spacing w:after="0" w:line="261" w:lineRule="auto"/>
        <w:rPr>
          <w:sz w:val="20"/>
          <w:szCs w:val="20"/>
          <w:color w:val="auto"/>
        </w:rPr>
      </w:pPr>
      <w:r>
        <w:rPr>
          <w:rFonts w:ascii="Times New Roman" w:cs="Times New Roman" w:eastAsia="Times New Roman" w:hAnsi="Times New Roman"/>
          <w:sz w:val="18"/>
          <w:szCs w:val="18"/>
          <w:color w:val="auto"/>
        </w:rPr>
        <w:t>Provisions are recognized when Opera has a present legal or constructive obligation as a result of a past event, and outflow of resources is probable, and the amount can be reliably estimated. Provisions are measured at the present value of the best estimate of the expenditure required to settle the obligation at the reporting date, discounted using a pre-tax rate reflecting current market assessments of the time value of money and risks specific to the liability.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Trade and other Payables, and Other Current Liabilities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presents the items of trade and other payables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payables due to third-party suppliers</w:t>
            </w:r>
          </w:p>
        </w:tc>
        <w:tc>
          <w:tcPr>
            <w:tcW w:w="18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72,694</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85,574</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 due to related parties (Note 17)</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added tax</w:t>
            </w:r>
          </w:p>
        </w:tc>
        <w:tc>
          <w:tcPr>
            <w:tcW w:w="8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Payroll tax</w:t>
            </w:r>
          </w:p>
        </w:tc>
        <w:tc>
          <w:tcPr>
            <w:tcW w:w="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Pr>
          <w:p>
            <w:pPr>
              <w:spacing w:after="0"/>
              <w:rPr>
                <w:sz w:val="18"/>
                <w:szCs w:val="18"/>
                <w:color w:val="auto"/>
              </w:rPr>
            </w:pPr>
          </w:p>
        </w:tc>
      </w:tr>
      <w:tr>
        <w:trPr>
          <w:trHeight w:val="250"/>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18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75,285</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89,520</w:t>
            </w:r>
          </w:p>
        </w:tc>
      </w:tr>
      <w:tr>
        <w:trPr>
          <w:trHeight w:val="413"/>
        </w:trPr>
        <w:tc>
          <w:tcPr>
            <w:tcW w:w="68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The following table shows the items of other current liabilities (in thousands):</w:t>
            </w:r>
          </w:p>
        </w:tc>
        <w:tc>
          <w:tcPr>
            <w:tcW w:w="8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12"/>
        </w:trPr>
        <w:tc>
          <w:tcPr>
            <w:tcW w:w="6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6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personnel expenses</w:t>
            </w:r>
          </w:p>
        </w:tc>
        <w:tc>
          <w:tcPr>
            <w:tcW w:w="18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13,039</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13,514</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18"/>
                <w:szCs w:val="18"/>
                <w:color w:val="auto"/>
              </w:rPr>
            </w:pPr>
          </w:p>
        </w:tc>
      </w:tr>
      <w:tr>
        <w:trPr>
          <w:trHeight w:val="250"/>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18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13,222</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14,273</w:t>
            </w:r>
          </w:p>
        </w:tc>
      </w:tr>
      <w:tr>
        <w:trPr>
          <w:trHeight w:val="588"/>
        </w:trPr>
        <w:tc>
          <w:tcPr>
            <w:tcW w:w="6860" w:type="dxa"/>
            <w:vAlign w:val="bottom"/>
            <w:tcBorders>
              <w:top w:val="single" w:sz="8" w:color="CFF0FC"/>
            </w:tcBorders>
          </w:tcPr>
          <w:p>
            <w:pPr>
              <w:ind w:left="5460"/>
              <w:spacing w:after="0"/>
              <w:rPr>
                <w:sz w:val="20"/>
                <w:szCs w:val="20"/>
                <w:color w:val="auto"/>
              </w:rPr>
            </w:pPr>
            <w:r>
              <w:rPr>
                <w:rFonts w:ascii="Times New Roman" w:cs="Times New Roman" w:eastAsia="Times New Roman" w:hAnsi="Times New Roman"/>
                <w:sz w:val="18"/>
                <w:szCs w:val="18"/>
                <w:color w:val="auto"/>
              </w:rPr>
              <w:t>F-29</w:t>
            </w:r>
          </w:p>
        </w:tc>
        <w:tc>
          <w:tcPr>
            <w:tcW w:w="880" w:type="dxa"/>
            <w:vAlign w:val="bottom"/>
            <w:tcBorders>
              <w:top w:val="single" w:sz="8" w:color="CFF0FC"/>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506"/>
        </w:trPr>
        <w:tc>
          <w:tcPr>
            <w:tcW w:w="68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-1876425</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-1859280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-1876425</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-744855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-728345</wp:posOffset>
            </wp:positionV>
            <wp:extent cx="685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Financial Assets and Financial Liabilities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the carrying amounts of financial assets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assets at amortized cost:</w:t>
            </w:r>
          </w:p>
        </w:tc>
        <w:tc>
          <w:tcPr>
            <w:tcW w:w="1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1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color w:val="auto"/>
              </w:rPr>
              <w:t>Trade receivables (Note 12)</w:t>
            </w:r>
          </w:p>
        </w:tc>
        <w:tc>
          <w:tcPr>
            <w:tcW w:w="2520" w:type="dxa"/>
            <w:vAlign w:val="bottom"/>
            <w:gridSpan w:val="2"/>
          </w:tcPr>
          <w:p>
            <w:pPr>
              <w:jc w:val="right"/>
              <w:ind w:right="759"/>
              <w:spacing w:after="0" w:line="164"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92,823</w:t>
            </w:r>
          </w:p>
        </w:tc>
        <w:tc>
          <w:tcPr>
            <w:tcW w:w="840" w:type="dxa"/>
            <w:vAlign w:val="bottom"/>
            <w:gridSpan w:val="2"/>
          </w:tcPr>
          <w:p>
            <w:pPr>
              <w:jc w:val="right"/>
              <w:ind w:right="4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112,593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616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Other receivables </w:t>
            </w:r>
            <w:r>
              <w:rPr>
                <w:rFonts w:ascii="Times New Roman" w:cs="Times New Roman" w:eastAsia="Times New Roman" w:hAnsi="Times New Roman"/>
                <w:sz w:val="24"/>
                <w:szCs w:val="24"/>
                <w:color w:val="auto"/>
                <w:vertAlign w:val="superscript"/>
              </w:rPr>
              <w:t>(1)</w:t>
            </w:r>
          </w:p>
        </w:tc>
        <w:tc>
          <w:tcPr>
            <w:tcW w:w="1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5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125,997</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financial assets at amortized cost</w:t>
            </w:r>
          </w:p>
        </w:tc>
        <w:tc>
          <w:tcPr>
            <w:tcW w:w="15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225,139</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at fair value through profit or loss:</w:t>
            </w: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160" w:type="dxa"/>
            <w:vAlign w:val="bottom"/>
          </w:tcPr>
          <w:p>
            <w:pPr>
              <w:ind w:left="140"/>
              <w:spacing w:after="0" w:line="164" w:lineRule="exact"/>
              <w:rPr>
                <w:sz w:val="20"/>
                <w:szCs w:val="20"/>
                <w:color w:val="auto"/>
              </w:rPr>
            </w:pPr>
            <w:r>
              <w:rPr>
                <w:rFonts w:ascii="Times New Roman" w:cs="Times New Roman" w:eastAsia="Times New Roman" w:hAnsi="Times New Roman"/>
                <w:sz w:val="18"/>
                <w:szCs w:val="18"/>
                <w:color w:val="auto"/>
              </w:rPr>
              <w:t>OPay investment (Note 11)</w:t>
            </w:r>
          </w:p>
        </w:tc>
        <w:tc>
          <w:tcPr>
            <w:tcW w:w="1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w w:val="99"/>
              </w:rPr>
              <w:t>258,300</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294,600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6160" w:type="dxa"/>
            <w:vAlign w:val="bottom"/>
          </w:tcPr>
          <w:p>
            <w:pPr>
              <w:ind w:left="140"/>
              <w:spacing w:after="0" w:line="267" w:lineRule="exact"/>
              <w:rPr>
                <w:sz w:val="20"/>
                <w:szCs w:val="20"/>
                <w:color w:val="auto"/>
              </w:rPr>
            </w:pPr>
            <w:r>
              <w:rPr>
                <w:rFonts w:ascii="Times New Roman" w:cs="Times New Roman" w:eastAsia="Times New Roman" w:hAnsi="Times New Roman"/>
                <w:sz w:val="18"/>
                <w:szCs w:val="18"/>
                <w:color w:val="auto"/>
              </w:rPr>
              <w:t xml:space="preserve">Stablecoins </w:t>
            </w:r>
            <w:r>
              <w:rPr>
                <w:rFonts w:ascii="Times New Roman" w:cs="Times New Roman" w:eastAsia="Times New Roman" w:hAnsi="Times New Roman"/>
                <w:sz w:val="24"/>
                <w:szCs w:val="24"/>
                <w:color w:val="auto"/>
                <w:vertAlign w:val="superscript"/>
              </w:rPr>
              <w:t>(2)</w:t>
            </w:r>
          </w:p>
        </w:tc>
        <w:tc>
          <w:tcPr>
            <w:tcW w:w="158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8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financial assets at fair value through profit or loss</w:t>
            </w:r>
          </w:p>
        </w:tc>
        <w:tc>
          <w:tcPr>
            <w:tcW w:w="15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259,101</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295,472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assets</w:t>
            </w:r>
          </w:p>
        </w:tc>
        <w:tc>
          <w:tcPr>
            <w:tcW w:w="2520" w:type="dxa"/>
            <w:vAlign w:val="bottom"/>
            <w:gridSpan w:val="2"/>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484,240</w:t>
            </w: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3716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3716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-873760</wp:posOffset>
            </wp:positionV>
            <wp:extent cx="6858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-307975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40" w:hanging="372"/>
        <w:spacing w:after="0" w:line="260" w:lineRule="auto"/>
        <w:tabs>
          <w:tab w:leader="none" w:pos="3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receivables comprise amounts presented as “Other current receivables,” in the Statement of Financial Position, which are further disaggregated in Note 12, and non-current receivables included within “Other non-current investments and financial assets.”</w:t>
      </w:r>
    </w:p>
    <w:p>
      <w:pPr>
        <w:ind w:left="380" w:right="160" w:hanging="372"/>
        <w:spacing w:after="0" w:line="270" w:lineRule="auto"/>
        <w:tabs>
          <w:tab w:leader="none" w:pos="38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Stablecoins comprise holdings of USD Coin (“USDC”) and Tether (“USDT”). USDC was presented as cash equivalents as of December 31, 2024 and 2025, as these holdings are short-term, highly liquid investments that are readily convertible to known amounts of cash and are subject to an insignificant risk of changes in value. USDT was presented as cash equivalents as of December 31, 2024 based on the facts and circumstances existing at that reporting date. During 2025, management reassessed the classification of USDT and concluded that, although it remains redeemable for U.S. dollars, it no longer meets all of the criteria for presentation as a cash equivalent. Accordingly, USDT was presented as other current assets as of December 31, 2025.</w:t>
      </w:r>
    </w:p>
    <w:p>
      <w:pPr>
        <w:spacing w:after="0" w:line="181"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following table shows the carrying amounts of financial liabilities, all of which are measured at amortized cost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(Note 13)</w:t>
            </w:r>
          </w:p>
        </w:tc>
        <w:tc>
          <w:tcPr>
            <w:tcW w:w="35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9,586</w:t>
            </w:r>
          </w:p>
        </w:tc>
        <w:tc>
          <w:tcPr>
            <w:tcW w:w="72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8,410</w:t>
            </w:r>
          </w:p>
        </w:tc>
        <w:tc>
          <w:tcPr>
            <w:tcW w:w="0" w:type="dxa"/>
            <w:vAlign w:val="bottom"/>
          </w:tcPr>
          <w:p>
            <w:pPr>
              <w:spacing w:after="0"/>
              <w:rPr>
                <w:sz w:val="1"/>
                <w:szCs w:val="1"/>
                <w:color w:val="auto"/>
              </w:rPr>
            </w:pPr>
          </w:p>
        </w:tc>
      </w:tr>
      <w:tr>
        <w:trPr>
          <w:trHeight w:val="164"/>
        </w:trPr>
        <w:tc>
          <w:tcPr>
            <w:tcW w:w="516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Trade and other payables (Note 14)</w:t>
            </w:r>
          </w:p>
        </w:tc>
        <w:tc>
          <w:tcPr>
            <w:tcW w:w="2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gridSpan w:val="2"/>
          </w:tcPr>
          <w:p>
            <w:pPr>
              <w:jc w:val="right"/>
              <w:ind w:right="140"/>
              <w:spacing w:after="0" w:line="164" w:lineRule="exact"/>
              <w:rPr>
                <w:sz w:val="20"/>
                <w:szCs w:val="20"/>
                <w:color w:val="auto"/>
              </w:rPr>
            </w:pPr>
            <w:r>
              <w:rPr>
                <w:rFonts w:ascii="Times New Roman" w:cs="Times New Roman" w:eastAsia="Times New Roman" w:hAnsi="Times New Roman"/>
                <w:sz w:val="18"/>
                <w:szCs w:val="18"/>
                <w:color w:val="auto"/>
              </w:rPr>
              <w:t>75,285</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89,520</w:t>
            </w:r>
          </w:p>
        </w:tc>
        <w:tc>
          <w:tcPr>
            <w:tcW w:w="0" w:type="dxa"/>
            <w:vAlign w:val="bottom"/>
          </w:tcPr>
          <w:p>
            <w:pPr>
              <w:spacing w:after="0"/>
              <w:rPr>
                <w:sz w:val="1"/>
                <w:szCs w:val="1"/>
                <w:color w:val="auto"/>
              </w:rPr>
            </w:pPr>
          </w:p>
        </w:tc>
      </w:tr>
      <w:tr>
        <w:trPr>
          <w:trHeight w:val="268"/>
        </w:trPr>
        <w:tc>
          <w:tcPr>
            <w:tcW w:w="516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 xml:space="preserve">Other financial liabilities </w:t>
            </w:r>
            <w:r>
              <w:rPr>
                <w:rFonts w:ascii="Times New Roman" w:cs="Times New Roman" w:eastAsia="Times New Roman" w:hAnsi="Times New Roman"/>
                <w:sz w:val="24"/>
                <w:szCs w:val="24"/>
                <w:color w:val="auto"/>
                <w:vertAlign w:val="superscript"/>
              </w:rPr>
              <w:t>(1)</w:t>
            </w:r>
          </w:p>
        </w:tc>
        <w:tc>
          <w:tcPr>
            <w:tcW w:w="258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financial liabilities</w:t>
            </w:r>
          </w:p>
        </w:tc>
        <w:tc>
          <w:tcPr>
            <w:tcW w:w="35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98,164</w:t>
            </w:r>
          </w:p>
        </w:tc>
        <w:tc>
          <w:tcPr>
            <w:tcW w:w="7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112,214</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2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454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80" w:right="260" w:hanging="372"/>
        <w:spacing w:after="0" w:line="280" w:lineRule="auto"/>
        <w:tabs>
          <w:tab w:leader="none" w:pos="38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financial liabilities comprise amounts presented in the Statement of Financial Position within “Other current liabilities” (see Note 14) and “Other non-current liabilities.”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Assets and Financial Liabilities</w:t>
      </w:r>
    </w:p>
    <w:p>
      <w:pPr>
        <w:spacing w:after="0" w:line="189"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The carrying amounts of trade and other receivables, cash and cash equivalents, trade payables and other current liabilities approximate their fair values due to their short-term nature. Stablecoins classified as financial assets are designed to maintain a one-to-one peg against the U.S. dollar through issuer redemption rights backed by reserve assets. See Note 11 for information on the fair value measurement of shares in OPay.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Risk Management — Overview</w:t>
      </w:r>
    </w:p>
    <w:p>
      <w:pPr>
        <w:spacing w:after="0" w:line="189" w:lineRule="exact"/>
        <w:rPr>
          <w:sz w:val="20"/>
          <w:szCs w:val="20"/>
          <w:color w:val="auto"/>
        </w:rPr>
      </w:pPr>
    </w:p>
    <w:p>
      <w:pPr>
        <w:ind w:right="320" w:firstLine="374"/>
        <w:spacing w:after="0" w:line="266" w:lineRule="auto"/>
        <w:rPr>
          <w:sz w:val="20"/>
          <w:szCs w:val="20"/>
          <w:color w:val="auto"/>
        </w:rPr>
      </w:pPr>
      <w:r>
        <w:rPr>
          <w:rFonts w:ascii="Times New Roman" w:cs="Times New Roman" w:eastAsia="Times New Roman" w:hAnsi="Times New Roman"/>
          <w:sz w:val="18"/>
          <w:szCs w:val="18"/>
          <w:color w:val="auto"/>
        </w:rPr>
        <w:t>Opera is exposed to market, credit, and liquidity risks arising from its financial assets and financial liabilities. These risks are managed through established policies and procedures overseen by the Board of Directors and senior management. Opera does not use derivative financial instruments for hedging purposes.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02" w:lineRule="exact"/>
        <w:rPr>
          <w:sz w:val="20"/>
          <w:szCs w:val="20"/>
          <w:color w:val="auto"/>
        </w:rPr>
      </w:pPr>
    </w:p>
    <w:p>
      <w:pPr>
        <w:ind w:right="360" w:firstLine="374"/>
        <w:spacing w:after="0" w:line="282" w:lineRule="auto"/>
        <w:rPr>
          <w:sz w:val="20"/>
          <w:szCs w:val="20"/>
          <w:color w:val="auto"/>
        </w:rPr>
      </w:pPr>
      <w:r>
        <w:rPr>
          <w:rFonts w:ascii="Times New Roman" w:cs="Times New Roman" w:eastAsia="Times New Roman" w:hAnsi="Times New Roman"/>
          <w:sz w:val="18"/>
          <w:szCs w:val="18"/>
          <w:color w:val="auto"/>
        </w:rPr>
        <w:t>Market risk is the risk that the fair value or future cash flows of a financial instrument will fluctuate because of changes in market prices. Opera is exposed to interest rate risk, foreign currency risk and price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87"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Interest rate risk arises from changes in market interest rates affecting the fair value or cash flows of financial instruments. As of December 31, 2025, Opera’s exposure to interest rate risk was immaterial, as financial assets and liabilities other than demand deposits are non-interest-bearing.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00"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Foreign currency risk arises from transactions denominated in currencies other than the functional currencies of the Group’s entities. Opera is exposed to transactional foreign currency risk due to differences between the currencies in which revenues, expenses, receivables and payables are denominated. Most revenues are denominated in U.S. dollars and euros, while operating expenses are incurred in these and other currencies, including Norwegian kroner, Chinese renminbi, Polish zlotys, Swedish kronor, British pounds and Singapore dollars. Opera is also exposed to foreign currency risk from balances and funding arrangements between subsidiaries with different functional currencies. The functional currency of Opera’s principal revenue-generating entities is the U.S. dollar.</w:t>
      </w:r>
    </w:p>
    <w:p>
      <w:pPr>
        <w:spacing w:after="0" w:line="147"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 sensitivity analysis below shows the impact on income before income taxes of a 5% strengthening of relevant foreign currencies against the U.S. dollar, with all other variables held constant. A corresponding weakening would have an equal and opposite effect. The sensitivity analysis assumes that each currency moves independently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Chinese renminbi</w:t>
            </w:r>
          </w:p>
        </w:tc>
        <w:tc>
          <w:tcPr>
            <w:tcW w:w="11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Euro</w:t>
            </w:r>
          </w:p>
        </w:tc>
        <w:tc>
          <w:tcPr>
            <w:tcW w:w="11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Indonesian rupiah</w:t>
            </w:r>
          </w:p>
        </w:tc>
        <w:tc>
          <w:tcPr>
            <w:tcW w:w="11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w:t>
            </w: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Kenyan shilling</w:t>
            </w:r>
          </w:p>
        </w:tc>
        <w:tc>
          <w:tcPr>
            <w:tcW w:w="11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Malaysian ringgit</w:t>
            </w:r>
          </w:p>
        </w:tc>
        <w:tc>
          <w:tcPr>
            <w:tcW w:w="11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Nigerian naira</w:t>
            </w:r>
          </w:p>
        </w:tc>
        <w:tc>
          <w:tcPr>
            <w:tcW w:w="11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Norwegian krone</w:t>
            </w:r>
          </w:p>
        </w:tc>
        <w:tc>
          <w:tcPr>
            <w:tcW w:w="11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Polish zloty</w:t>
            </w:r>
          </w:p>
        </w:tc>
        <w:tc>
          <w:tcPr>
            <w:tcW w:w="11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1160" w:type="dxa"/>
            <w:vAlign w:val="bottom"/>
            <w:gridSpan w:val="2"/>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r>
      <w:tr>
        <w:trPr>
          <w:trHeight w:val="23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Swedish krona</w:t>
            </w:r>
          </w:p>
        </w:tc>
        <w:tc>
          <w:tcPr>
            <w:tcW w:w="11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Pr>
          <w:p>
            <w:pPr>
              <w:spacing w:after="0"/>
              <w:rPr>
                <w:sz w:val="20"/>
                <w:szCs w:val="20"/>
                <w:color w:val="auto"/>
              </w:rPr>
            </w:pPr>
          </w:p>
        </w:tc>
        <w:tc>
          <w:tcPr>
            <w:tcW w:w="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In addition, Opera is exposed to foreign currency translation risk arising from the translation of the financial statements of subsidiaries whose functional currencies differ from the U.S. dollar, which is Opera’s presentation currency. Changes in exchange rates may affect the reported amounts of assets, liabilities, income and expenses when these financial statements are translated into U.S. dollars. The resulting translation differences are recognized in other comprehensive income and accumulated in equity as part of the foreign currency translation reserve.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Price Risk</w:t>
      </w:r>
    </w:p>
    <w:p>
      <w:pPr>
        <w:spacing w:after="0" w:line="200"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Price risk arises from the risk that the fair value or future cash flows of financial instruments will fluctuate due to changes in market prices, whether those changes result from factors specific to the instrument or its issuer, or from factors affecting similar instruments in the market. Opera is exposed to price risk from its investment in OPay, an unlisted entity measured at fair value through profit or loss (see Note 11). The valuation is subject to uncertainty due to the nature and stage of OPay’s business. The investment is monitored regularly by senior management.</w:t>
      </w:r>
    </w:p>
    <w:p>
      <w:pPr>
        <w:spacing w:after="0" w:line="139"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Opera is also exposed to price risk from holdings of USDC and USDT, both measured at fair value through profit or loss. These stablecoins are designed to maintain a one-to-one peg to the U.S. dollar and are redeemable for known amounts of cash. However, their ability to maintain the peg depends on the composition, liquidity and valuation of the underlying reserves, as well as the issuers’ redemption and risk management practices. In stressed market conditions, these factors could result in temporary deviations from the U.S. dollar peg. Opera monitors the price risk associated with its stablecoin holdings on an ongoing basis. As of December 31, 2025, the carrying amount of USDC was $0.5 million and the carrying amount of USDT was $0.4 million. Opera also holds other crypto assets, primarily CELO, which are classified as intangible assets (see Note 10). These assets are exposed to significant market price volatility. Management monitors this exposure as part of its overall financial risk management framework and considers market conditions, liquidity and concentration when managing these holdings.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700" w:firstLine="374"/>
        <w:spacing w:after="0" w:line="282" w:lineRule="auto"/>
        <w:rPr>
          <w:sz w:val="20"/>
          <w:szCs w:val="20"/>
          <w:color w:val="auto"/>
        </w:rPr>
      </w:pPr>
      <w:r>
        <w:rPr>
          <w:rFonts w:ascii="Times New Roman" w:cs="Times New Roman" w:eastAsia="Times New Roman" w:hAnsi="Times New Roman"/>
          <w:sz w:val="18"/>
          <w:szCs w:val="18"/>
          <w:color w:val="auto"/>
        </w:rPr>
        <w:t>Credit risk is the risk of financial loss arising from a counterparty’s failure to meet its contractual obligations. Opera’s exposure to credit risk primarily relates to trade and other receivables, cash deposits with financial institutions, and its investment in preferred shares in OPay.</w:t>
      </w:r>
    </w:p>
    <w:p>
      <w:pPr>
        <w:spacing w:after="0" w:line="121"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Cash deposits are placed only with financial institutions considered to have high credit quality, resulting in low credit risk exposure. Credit risk on trade receivables is managed through established credit policies, including payment terms generally ranging from 30 to 90 days, and ongoing monitoring of outstanding balances. Information on expected credit losses is disclosed in Note 12.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investment in preferred shares in OPay (see Note 11) includes redemption rights that may be exercised upon the occurrence of specified events. Credit risk arises if OPay is unable to meet its potential redemption obligations. Based on OPay’s financial position, management considers this contingent credit risk to be low; however, the investment is monitored for credit deterioration.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189" w:lineRule="exact"/>
        <w:rPr>
          <w:sz w:val="20"/>
          <w:szCs w:val="20"/>
          <w:color w:val="auto"/>
        </w:rPr>
      </w:pPr>
    </w:p>
    <w:p>
      <w:pPr>
        <w:ind w:right="300" w:firstLine="374"/>
        <w:spacing w:after="0" w:line="266" w:lineRule="auto"/>
        <w:rPr>
          <w:sz w:val="20"/>
          <w:szCs w:val="20"/>
          <w:color w:val="auto"/>
        </w:rPr>
      </w:pPr>
      <w:r>
        <w:rPr>
          <w:rFonts w:ascii="Times New Roman" w:cs="Times New Roman" w:eastAsia="Times New Roman" w:hAnsi="Times New Roman"/>
          <w:sz w:val="18"/>
          <w:szCs w:val="18"/>
          <w:color w:val="auto"/>
        </w:rPr>
        <w:t>Liquidity risk is the risk that Opera will be unable to meet its financial obligations as they fall due. Liquidity is managed centrally through a cash pooling process that enables efficient allocation and cash across the Group. Liquidity management considers forecast cash flows, the maturity profile of financial assets and liabilities, and available cash and cash equivalents.</w:t>
      </w:r>
    </w:p>
    <w:p>
      <w:pPr>
        <w:spacing w:after="0" w:line="135" w:lineRule="exact"/>
        <w:rPr>
          <w:sz w:val="20"/>
          <w:szCs w:val="20"/>
          <w:color w:val="auto"/>
        </w:rPr>
      </w:pPr>
    </w:p>
    <w:p>
      <w:pPr>
        <w:ind w:right="600" w:firstLine="374"/>
        <w:spacing w:after="0" w:line="282" w:lineRule="auto"/>
        <w:rPr>
          <w:sz w:val="20"/>
          <w:szCs w:val="20"/>
          <w:color w:val="auto"/>
        </w:rPr>
      </w:pPr>
      <w:r>
        <w:rPr>
          <w:rFonts w:ascii="Times New Roman" w:cs="Times New Roman" w:eastAsia="Times New Roman" w:hAnsi="Times New Roman"/>
          <w:sz w:val="18"/>
          <w:szCs w:val="18"/>
          <w:color w:val="auto"/>
        </w:rPr>
        <w:t>Opera considers its liquidity risk to be low, supported by a strong liquidity position and low leverage. The table below presents the contractual undiscounted cash outflows for Opera’s financial liabilities by maturity (in thousands):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December 31, 2024:</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the First</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 the Second</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and Third</w:t>
      </w:r>
    </w:p>
    <w:p>
      <w:pPr>
        <w:spacing w:after="0" w:line="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Years</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After the Third</w:t>
      </w:r>
    </w:p>
    <w:p>
      <w:pPr>
        <w:spacing w:after="0" w:line="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48" w:lineRule="exact"/>
        <w:rPr>
          <w:sz w:val="20"/>
          <w:szCs w:val="20"/>
          <w:color w:val="auto"/>
        </w:rPr>
      </w:pPr>
    </w:p>
    <w:p>
      <w:pPr>
        <w:sectPr>
          <w:pgSz w:w="11900" w:h="16838" w:orient="portrait"/>
          <w:cols w:equalWidth="0" w:num="5">
            <w:col w:w="5260" w:space="720"/>
            <w:col w:w="800" w:space="500"/>
            <w:col w:w="940" w:space="380"/>
            <w:col w:w="1060" w:space="680"/>
            <w:col w:w="90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572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4,363</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4,657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1,349</w:t>
            </w:r>
          </w:p>
        </w:tc>
        <w:tc>
          <w:tcPr>
            <w:tcW w:w="480" w:type="dxa"/>
            <w:vAlign w:val="bottom"/>
            <w:gridSpan w:val="2"/>
            <w:shd w:val="clear" w:color="auto" w:fill="CFF0FC"/>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10,369</w:t>
            </w:r>
          </w:p>
        </w:tc>
        <w:tc>
          <w:tcPr>
            <w:tcW w:w="120" w:type="dxa"/>
            <w:vAlign w:val="bottom"/>
            <w:shd w:val="clear" w:color="auto" w:fill="CFF0FC"/>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75,285</w:t>
            </w:r>
          </w:p>
        </w:tc>
        <w:tc>
          <w:tcPr>
            <w:tcW w:w="120" w:type="dxa"/>
            <w:vAlign w:val="bottom"/>
          </w:tcPr>
          <w:p>
            <w:pPr>
              <w:spacing w:after="0"/>
              <w:rPr>
                <w:sz w:val="18"/>
                <w:szCs w:val="18"/>
                <w:color w:val="auto"/>
              </w:rPr>
            </w:pPr>
          </w:p>
        </w:tc>
      </w:tr>
      <w:tr>
        <w:trPr>
          <w:trHeight w:val="21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financial liabilities, including interest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98,946</w:t>
            </w:r>
          </w:p>
        </w:tc>
        <w:tc>
          <w:tcPr>
            <w:tcW w:w="12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3"/>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the Second</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In the First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and Third</w:t>
            </w:r>
          </w:p>
        </w:tc>
        <w:tc>
          <w:tcPr>
            <w:tcW w:w="22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After the Third</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Year</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Year</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213"/>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4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20" w:type="dxa"/>
            <w:vAlign w:val="bottom"/>
            <w:shd w:val="clear" w:color="auto" w:fill="CFF0FC"/>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89,520</w:t>
            </w:r>
          </w:p>
        </w:tc>
        <w:tc>
          <w:tcPr>
            <w:tcW w:w="120" w:type="dxa"/>
            <w:vAlign w:val="bottom"/>
          </w:tcPr>
          <w:p>
            <w:pPr>
              <w:spacing w:after="0"/>
              <w:rPr>
                <w:sz w:val="18"/>
                <w:szCs w:val="18"/>
                <w:color w:val="auto"/>
              </w:rPr>
            </w:pPr>
          </w:p>
        </w:tc>
      </w:tr>
      <w:tr>
        <w:trPr>
          <w:trHeight w:val="216"/>
        </w:trPr>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14,273</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financial liabilities, including interest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112,815</w:t>
            </w:r>
          </w:p>
        </w:tc>
        <w:tc>
          <w:tcPr>
            <w:tcW w:w="12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-1285240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-1285240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-1285240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-1285240</wp:posOffset>
            </wp:positionV>
            <wp:extent cx="774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-170815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Liabilities Arising from Financing Activities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shows the changes in liabilities arising from financing activities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80" w:type="dxa"/>
            <w:vAlign w:val="bottom"/>
          </w:tcPr>
          <w:p>
            <w:pPr>
              <w:spacing w:after="0"/>
              <w:rPr>
                <w:sz w:val="17"/>
                <w:szCs w:val="17"/>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Current Lease</w:t>
            </w:r>
          </w:p>
        </w:tc>
        <w:tc>
          <w:tcPr>
            <w:tcW w:w="80" w:type="dxa"/>
            <w:vAlign w:val="bottom"/>
          </w:tcPr>
          <w:p>
            <w:pPr>
              <w:spacing w:after="0"/>
              <w:rPr>
                <w:sz w:val="17"/>
                <w:szCs w:val="17"/>
                <w:color w:val="auto"/>
              </w:rPr>
            </w:pPr>
          </w:p>
        </w:tc>
        <w:tc>
          <w:tcPr>
            <w:tcW w:w="13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Other Current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5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21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6,776</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flow</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(4,699)</w:t>
            </w: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New, modified and terminated leases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changes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flow</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(5,237)</w:t>
            </w: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New, modified and terminated leases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shd w:val="clear" w:color="auto" w:fill="CFF0FC"/>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1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-728345</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-728345</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-728345</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Capital Management</w:t>
      </w:r>
    </w:p>
    <w:p>
      <w:pPr>
        <w:spacing w:after="0" w:line="189"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Opera’s objective in managing capital is to maintain a capital structure that supports its operations, strategic investments and long-term growth while preserving financial flexibility. Management seeks to ensure that the Group can meet its obligations, maintain the confidence of investors and other stakeholders, and provide returns to shareholders, including through recurring dividends and share repurchase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02"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In January 2023, the Board of Directors declared a special dividend of $0.80 per share, representing an aggregate distribution of $71.3 million. Of this amount, $59.0 million payable to Kunlun and Keeneyes Future Holding was settled through offsets against receivables due from those shareholders (see Note 17), with the remaining $12.3 million paid in cash.</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In June 2023, the Board of Directors adopted a recurring semi-annual dividend program and declared the first semi-annual dividend of $0.40 per share, representing an aggregate distribution of $36.0 million. Since then, Opera has paid semi-annual dividends of $0.40 per share in January and July of 2024 and 2025, totaling $70.4 million in 2024 and $71.2 million in 2025. Portions of dividends payable on the ordinary shares held by Kunlun, amounting to $25.1 million in 2023 and $33.0 million in 2024 were settled through offsets against a receivable due from Kunlun from the sale in 2022 of Opera’s former ownership interest in Star X, which resulted in the receivable being fully settled in July 2024.</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dividends paid (in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Offset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Against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120" w:type="dxa"/>
            <w:vAlign w:val="bottom"/>
          </w:tcPr>
          <w:p>
            <w:pPr>
              <w:spacing w:after="0"/>
              <w:rPr>
                <w:sz w:val="18"/>
                <w:szCs w:val="18"/>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Type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2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 in Cash</w:t>
            </w:r>
          </w:p>
        </w:tc>
        <w:tc>
          <w:tcPr>
            <w:tcW w:w="100" w:type="dxa"/>
            <w:vAlign w:val="bottom"/>
          </w:tcPr>
          <w:p>
            <w:pPr>
              <w:spacing w:after="0"/>
              <w:rPr>
                <w:sz w:val="18"/>
                <w:szCs w:val="18"/>
                <w:color w:val="auto"/>
              </w:rPr>
            </w:pPr>
          </w:p>
        </w:tc>
      </w:tr>
      <w:tr>
        <w:trPr>
          <w:trHeight w:val="213"/>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9, 2023</w:t>
            </w:r>
          </w:p>
        </w:tc>
        <w:tc>
          <w:tcPr>
            <w:tcW w:w="1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Special</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58,983</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12,273</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July 12, 2023</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Recurring</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dividends paid in 2023</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107,222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84,116</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23,105</w:t>
            </w:r>
          </w:p>
        </w:tc>
        <w:tc>
          <w:tcPr>
            <w:tcW w:w="100" w:type="dxa"/>
            <w:vAlign w:val="bottom"/>
            <w:shd w:val="clear" w:color="auto" w:fill="CFF0FC"/>
          </w:tcPr>
          <w:p>
            <w:pPr>
              <w:spacing w:after="0"/>
              <w:rPr>
                <w:sz w:val="18"/>
                <w:szCs w:val="18"/>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January 9, 2024</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Recurring</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15, 2024</w:t>
            </w:r>
          </w:p>
        </w:tc>
        <w:tc>
          <w:tcPr>
            <w:tcW w:w="1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Recurring</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100" w:type="dxa"/>
            <w:vAlign w:val="bottom"/>
            <w:shd w:val="clear" w:color="auto" w:fill="CFF0FC"/>
          </w:tcPr>
          <w:p>
            <w:pPr>
              <w:spacing w:after="0"/>
              <w:rPr>
                <w:sz w:val="18"/>
                <w:szCs w:val="18"/>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dividends paid in 2024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32,962</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37,435</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13, 2025</w:t>
            </w:r>
          </w:p>
        </w:tc>
        <w:tc>
          <w:tcPr>
            <w:tcW w:w="1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Recurring</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July 15, 2025</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Recurring</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35,772</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dividends paid in 2025</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71,167</w:t>
            </w:r>
          </w:p>
        </w:tc>
        <w:tc>
          <w:tcPr>
            <w:tcW w:w="100" w:type="dxa"/>
            <w:vAlign w:val="bottom"/>
            <w:shd w:val="clear" w:color="auto" w:fill="CFF0FC"/>
          </w:tcPr>
          <w:p>
            <w:pPr>
              <w:spacing w:after="0"/>
              <w:rPr>
                <w:sz w:val="18"/>
                <w:szCs w:val="18"/>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-864870</wp:posOffset>
            </wp:positionV>
            <wp:extent cx="7747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-864870</wp:posOffset>
            </wp:positionV>
            <wp:extent cx="7747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-864870</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-864870</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-582295</wp:posOffset>
            </wp:positionV>
            <wp:extent cx="774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-582295</wp:posOffset>
            </wp:positionV>
            <wp:extent cx="7747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-582295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-582295</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7747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7747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 December 2025, the Board of Directors declared a semi-annual dividend of $0.40 per share under the recurring dividend program to shareholders of record on January 7, 2026. Because the Board of Directors had the ability to cancel the dividend up until the record date, the dividend did not represent a liability as of December 31, 2025.</w:t>
      </w:r>
    </w:p>
    <w:p>
      <w:pPr>
        <w:spacing w:after="0" w:line="135"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The Company intends to continue paying semi-annual dividends; however, the declaration, timing and amount of any future dividends remain subject to Board approval and will depend on the Company’s financial condition, results of operations, capital requirements, contractual restrictions and other relevant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02"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 January 2022, the Board of Directors approved a share repurchase program authorizing the repurchase of up to $50 million of the Company’s ADSs by March 2024. The program commenced in February 2022 and was completed in November 2023, at which point in time the Company had repurchased an aggregate 6,119,841 ADSs for a total spend of $50 million.</w:t>
      </w:r>
    </w:p>
    <w:p>
      <w:pPr>
        <w:spacing w:after="0" w:line="135"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Including the ADS repurchase programs completed in 2019 and 2021, as well as a repurchase of ordinary shares from a pre-IPO shareholder in 2022, the Company has repurchased a total of 36,971,296 shares for an aggregate spend of $239.0 million since its initial public offering in 2018. As of December 31, 2025, the Company held 1,600,107 ADSs in treasury. Treasury shares are recognized at cost and deducted from equity. No gain or loss is recognized in the Statement of Operations on the purchase, sale, reissue, or cancellation of the Company’s own equity instruments. For information regarding a new $300 million share repurchase program authorized subsequent to the reporting period, see Note 18.</w:t>
      </w:r>
    </w:p>
    <w:p>
      <w:pPr>
        <w:spacing w:after="0" w:line="143"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total capital returned to shareholders in the Company through share repurchases and dividends during 2023, 2024 and 2025 (in thousands, except number of shares and per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Share Repurchases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7"/>
                <w:szCs w:val="17"/>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r>
      <w:tr>
        <w:trPr>
          <w:trHeight w:val="21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Returns</w:t>
            </w:r>
          </w:p>
        </w:tc>
        <w:tc>
          <w:tcPr>
            <w:tcW w:w="100" w:type="dxa"/>
            <w:vAlign w:val="bottom"/>
          </w:tcPr>
          <w:p>
            <w:pPr>
              <w:spacing w:after="0"/>
              <w:rPr>
                <w:sz w:val="18"/>
                <w:szCs w:val="18"/>
                <w:color w:val="auto"/>
              </w:rPr>
            </w:pPr>
          </w:p>
        </w:tc>
      </w:tr>
      <w:tr>
        <w:trPr>
          <w:trHeight w:val="21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2,765,346</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32,695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107,222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139,917</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70,398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70,398</w:t>
            </w: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0.80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71,167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71,167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02"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 early 2023, following the sale of the majority of the securities portfolio to Kunlun and Keeneyes Future Holding (see Note 17), and the subsequent sale of the remaining securities in market transactions, Opera terminated its program under which up to $70 million had been allocated to investments in marketable securities. The program generated a net gain of $3.2 million prior to its termination in 2023, recognized in finance income, and a cumulative net gain of $34.2 million since its inception in 2018.</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Related Parties</w:t>
      </w:r>
    </w:p>
    <w:p>
      <w:pPr>
        <w:spacing w:after="0" w:line="202" w:lineRule="exact"/>
        <w:rPr>
          <w:sz w:val="20"/>
          <w:szCs w:val="20"/>
          <w:color w:val="auto"/>
        </w:rPr>
      </w:pPr>
    </w:p>
    <w:p>
      <w:pPr>
        <w:ind w:right="860" w:firstLine="374"/>
        <w:spacing w:after="0" w:line="282" w:lineRule="auto"/>
        <w:rPr>
          <w:sz w:val="20"/>
          <w:szCs w:val="20"/>
          <w:color w:val="auto"/>
        </w:rPr>
      </w:pPr>
      <w:r>
        <w:rPr>
          <w:rFonts w:ascii="Times New Roman" w:cs="Times New Roman" w:eastAsia="Times New Roman" w:hAnsi="Times New Roman"/>
          <w:sz w:val="18"/>
          <w:szCs w:val="18"/>
          <w:color w:val="auto"/>
        </w:rPr>
        <w:t>Set out in the table below are the related parties with which Opera had transactions or outstanding balances in the periods included in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34290" cy="1797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5">
                      <a:extLst>
                        <a:ext uri="{28A0092B-C50C-407E-A947-70E740481C1C}"/>
                      </a:extLst>
                    </a:blip>
                    <a:srcRect/>
                    <a:stretch>
                      <a:fillRect/>
                    </a:stretch>
                  </pic:blipFill>
                  <pic:spPr bwMode="auto">
                    <a:xfrm>
                      <a:off x="0" y="0"/>
                      <a:ext cx="3429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101600</wp:posOffset>
            </wp:positionV>
            <wp:extent cx="33655" cy="17970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6">
                      <a:extLst>
                        <a:ext uri="{28A0092B-C50C-407E-A947-70E740481C1C}"/>
                      </a:extLst>
                    </a:blip>
                    <a:srcRect/>
                    <a:stretch>
                      <a:fillRect/>
                    </a:stretch>
                  </pic:blipFill>
                  <pic:spPr bwMode="auto">
                    <a:xfrm>
                      <a:off x="0" y="0"/>
                      <a:ext cx="33655" cy="179705"/>
                    </a:xfrm>
                    <a:prstGeom prst="rect">
                      <a:avLst/>
                    </a:prstGeom>
                    <a:noFill/>
                  </pic:spPr>
                </pic:pic>
              </a:graphicData>
            </a:graphic>
          </wp:anchor>
        </w:drawing>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500" w:type="dxa"/>
            <w:vAlign w:val="bottom"/>
            <w:tcBorders>
              <w:top w:val="single" w:sz="8" w:color="45B0E1"/>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Related parties</w:t>
            </w:r>
          </w:p>
        </w:tc>
        <w:tc>
          <w:tcPr>
            <w:tcW w:w="240" w:type="dxa"/>
            <w:vAlign w:val="bottom"/>
            <w:tcBorders>
              <w:top w:val="single" w:sz="8" w:color="45B0E1"/>
            </w:tcBorders>
          </w:tcPr>
          <w:p>
            <w:pPr>
              <w:spacing w:after="0"/>
              <w:rPr>
                <w:sz w:val="19"/>
                <w:szCs w:val="19"/>
                <w:color w:val="auto"/>
              </w:rPr>
            </w:pPr>
          </w:p>
        </w:tc>
        <w:tc>
          <w:tcPr>
            <w:tcW w:w="5500" w:type="dxa"/>
            <w:vAlign w:val="bottom"/>
            <w:tcBorders>
              <w:top w:val="single" w:sz="8" w:color="45B0E1"/>
              <w:bottom w:val="single" w:sz="8" w:color="auto"/>
            </w:tcBorders>
          </w:tcPr>
          <w:p>
            <w:pPr>
              <w:ind w:left="1380"/>
              <w:spacing w:after="0"/>
              <w:rPr>
                <w:sz w:val="20"/>
                <w:szCs w:val="20"/>
                <w:color w:val="auto"/>
              </w:rPr>
            </w:pPr>
            <w:r>
              <w:rPr>
                <w:rFonts w:ascii="Times New Roman" w:cs="Times New Roman" w:eastAsia="Times New Roman" w:hAnsi="Times New Roman"/>
                <w:sz w:val="18"/>
                <w:szCs w:val="18"/>
                <w:b w:val="1"/>
                <w:bCs w:val="1"/>
                <w:color w:val="auto"/>
              </w:rPr>
              <w:t>Nature of related party relationship</w:t>
            </w:r>
          </w:p>
        </w:tc>
      </w:tr>
      <w:tr>
        <w:trPr>
          <w:trHeight w:val="209"/>
        </w:trPr>
        <w:tc>
          <w:tcPr>
            <w:tcW w:w="5500" w:type="dxa"/>
            <w:vAlign w:val="bottom"/>
            <w:tcBorders>
              <w:left w:val="single" w:sz="8" w:color="45B0E1"/>
              <w:bottom w:val="single" w:sz="8" w:color="45B0E1"/>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Keeneyes Future Holding Inc.</w:t>
            </w:r>
          </w:p>
        </w:tc>
        <w:tc>
          <w:tcPr>
            <w:tcW w:w="240" w:type="dxa"/>
            <w:vAlign w:val="bottom"/>
            <w:tcBorders>
              <w:bottom w:val="single" w:sz="8" w:color="45B0E1"/>
            </w:tcBorders>
            <w:shd w:val="clear" w:color="auto" w:fill="CFF0FC"/>
          </w:tcPr>
          <w:p>
            <w:pPr>
              <w:spacing w:after="0"/>
              <w:rPr>
                <w:sz w:val="18"/>
                <w:szCs w:val="18"/>
                <w:color w:val="auto"/>
              </w:rPr>
            </w:pPr>
          </w:p>
        </w:tc>
        <w:tc>
          <w:tcPr>
            <w:tcW w:w="5500" w:type="dxa"/>
            <w:vAlign w:val="bottom"/>
            <w:tcBorders>
              <w:bottom w:val="single" w:sz="8" w:color="45B0E1"/>
              <w:right w:val="single" w:sz="8" w:color="45B0E1"/>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Entity controlled by Opera’s executive chairman.</w:t>
            </w:r>
          </w:p>
        </w:tc>
      </w:tr>
      <w:tr>
        <w:trPr>
          <w:trHeight w:val="191"/>
        </w:trPr>
        <w:tc>
          <w:tcPr>
            <w:tcW w:w="5500" w:type="dxa"/>
            <w:vAlign w:val="bottom"/>
            <w:tcBorders>
              <w:left w:val="single" w:sz="8" w:color="45B0E1"/>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Kunlun Tech Co., Ltd., and its subsidiaries (“Kunlun”)</w:t>
            </w:r>
          </w:p>
        </w:tc>
        <w:tc>
          <w:tcPr>
            <w:tcW w:w="240" w:type="dxa"/>
            <w:vAlign w:val="bottom"/>
          </w:tcPr>
          <w:p>
            <w:pPr>
              <w:spacing w:after="0"/>
              <w:rPr>
                <w:sz w:val="16"/>
                <w:szCs w:val="16"/>
                <w:color w:val="auto"/>
              </w:rPr>
            </w:pPr>
          </w:p>
        </w:tc>
        <w:tc>
          <w:tcPr>
            <w:tcW w:w="5500" w:type="dxa"/>
            <w:vAlign w:val="bottom"/>
            <w:tcBorders>
              <w:right w:val="single" w:sz="8" w:color="45B0E1"/>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Kunlun Tech Co., Ltd. is the ultimate parent of Opera and is controlled</w:t>
            </w:r>
          </w:p>
        </w:tc>
      </w:tr>
      <w:tr>
        <w:trPr>
          <w:trHeight w:val="234"/>
        </w:trPr>
        <w:tc>
          <w:tcPr>
            <w:tcW w:w="5500" w:type="dxa"/>
            <w:vAlign w:val="bottom"/>
            <w:tcBorders>
              <w:left w:val="single" w:sz="8" w:color="45B0E1"/>
              <w:bottom w:val="single" w:sz="8" w:color="45B0E1"/>
            </w:tcBorders>
          </w:tcPr>
          <w:p>
            <w:pPr>
              <w:spacing w:after="0"/>
              <w:rPr>
                <w:sz w:val="20"/>
                <w:szCs w:val="20"/>
                <w:color w:val="auto"/>
              </w:rPr>
            </w:pPr>
          </w:p>
        </w:tc>
        <w:tc>
          <w:tcPr>
            <w:tcW w:w="240" w:type="dxa"/>
            <w:vAlign w:val="bottom"/>
            <w:tcBorders>
              <w:bottom w:val="single" w:sz="8" w:color="45B0E1"/>
            </w:tcBorders>
          </w:tcPr>
          <w:p>
            <w:pPr>
              <w:spacing w:after="0"/>
              <w:rPr>
                <w:sz w:val="20"/>
                <w:szCs w:val="20"/>
                <w:color w:val="auto"/>
              </w:rPr>
            </w:pPr>
          </w:p>
        </w:tc>
        <w:tc>
          <w:tcPr>
            <w:tcW w:w="5500" w:type="dxa"/>
            <w:vAlign w:val="bottom"/>
            <w:tcBorders>
              <w:bottom w:val="single" w:sz="8" w:color="45B0E1"/>
              <w:right w:val="single" w:sz="8" w:color="45B0E1"/>
            </w:tcBorders>
          </w:tcPr>
          <w:p>
            <w:pPr>
              <w:ind w:left="100"/>
              <w:spacing w:after="0"/>
              <w:rPr>
                <w:sz w:val="20"/>
                <w:szCs w:val="20"/>
                <w:color w:val="auto"/>
              </w:rPr>
            </w:pPr>
            <w:r>
              <w:rPr>
                <w:rFonts w:ascii="Times New Roman" w:cs="Times New Roman" w:eastAsia="Times New Roman" w:hAnsi="Times New Roman"/>
                <w:sz w:val="18"/>
                <w:szCs w:val="18"/>
                <w:color w:val="auto"/>
              </w:rPr>
              <w:t>by Opera’s executive chairman.</w:t>
            </w:r>
          </w:p>
        </w:tc>
      </w:tr>
      <w:tr>
        <w:trPr>
          <w:trHeight w:val="209"/>
        </w:trPr>
        <w:tc>
          <w:tcPr>
            <w:tcW w:w="5500" w:type="dxa"/>
            <w:vAlign w:val="bottom"/>
            <w:tcBorders>
              <w:left w:val="single" w:sz="8" w:color="45B0E1"/>
              <w:bottom w:val="single" w:sz="8" w:color="45B0E1"/>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nHorizon Infinite (Beijing) Software Ltd. (“nHorizon Infinite”)</w:t>
            </w:r>
          </w:p>
        </w:tc>
        <w:tc>
          <w:tcPr>
            <w:tcW w:w="240" w:type="dxa"/>
            <w:vAlign w:val="bottom"/>
            <w:tcBorders>
              <w:bottom w:val="single" w:sz="8" w:color="45B0E1"/>
            </w:tcBorders>
            <w:shd w:val="clear" w:color="auto" w:fill="CFF0FC"/>
          </w:tcPr>
          <w:p>
            <w:pPr>
              <w:spacing w:after="0"/>
              <w:rPr>
                <w:sz w:val="18"/>
                <w:szCs w:val="18"/>
                <w:color w:val="auto"/>
              </w:rPr>
            </w:pPr>
          </w:p>
        </w:tc>
        <w:tc>
          <w:tcPr>
            <w:tcW w:w="5500" w:type="dxa"/>
            <w:vAlign w:val="bottom"/>
            <w:tcBorders>
              <w:bottom w:val="single" w:sz="8" w:color="45B0E1"/>
              <w:right w:val="single" w:sz="8" w:color="45B0E1"/>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Entity over which Opera had joint control.</w:t>
            </w:r>
          </w:p>
        </w:tc>
      </w:tr>
      <w:tr>
        <w:trPr>
          <w:trHeight w:val="191"/>
        </w:trPr>
        <w:tc>
          <w:tcPr>
            <w:tcW w:w="5500" w:type="dxa"/>
            <w:vAlign w:val="bottom"/>
            <w:tcBorders>
              <w:left w:val="single" w:sz="8" w:color="45B0E1"/>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OPay Ltd., and its subsidiaries (“OPay”)</w:t>
            </w:r>
          </w:p>
        </w:tc>
        <w:tc>
          <w:tcPr>
            <w:tcW w:w="240" w:type="dxa"/>
            <w:vAlign w:val="bottom"/>
          </w:tcPr>
          <w:p>
            <w:pPr>
              <w:spacing w:after="0"/>
              <w:rPr>
                <w:sz w:val="16"/>
                <w:szCs w:val="16"/>
                <w:color w:val="auto"/>
              </w:rPr>
            </w:pPr>
          </w:p>
        </w:tc>
        <w:tc>
          <w:tcPr>
            <w:tcW w:w="5500" w:type="dxa"/>
            <w:vAlign w:val="bottom"/>
            <w:tcBorders>
              <w:right w:val="single" w:sz="8" w:color="45B0E1"/>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Opera’s executive chairman has significant influence over OPay and he</w:t>
            </w:r>
          </w:p>
        </w:tc>
      </w:tr>
      <w:tr>
        <w:trPr>
          <w:trHeight w:val="234"/>
        </w:trPr>
        <w:tc>
          <w:tcPr>
            <w:tcW w:w="5500" w:type="dxa"/>
            <w:vAlign w:val="bottom"/>
            <w:tcBorders>
              <w:left w:val="single" w:sz="8" w:color="45B0E1"/>
              <w:bottom w:val="single" w:sz="8" w:color="45B0E1"/>
            </w:tcBorders>
          </w:tcPr>
          <w:p>
            <w:pPr>
              <w:spacing w:after="0"/>
              <w:rPr>
                <w:sz w:val="20"/>
                <w:szCs w:val="20"/>
                <w:color w:val="auto"/>
              </w:rPr>
            </w:pPr>
          </w:p>
        </w:tc>
        <w:tc>
          <w:tcPr>
            <w:tcW w:w="240" w:type="dxa"/>
            <w:vAlign w:val="bottom"/>
            <w:tcBorders>
              <w:bottom w:val="single" w:sz="8" w:color="45B0E1"/>
            </w:tcBorders>
          </w:tcPr>
          <w:p>
            <w:pPr>
              <w:spacing w:after="0"/>
              <w:rPr>
                <w:sz w:val="20"/>
                <w:szCs w:val="20"/>
                <w:color w:val="auto"/>
              </w:rPr>
            </w:pPr>
          </w:p>
        </w:tc>
        <w:tc>
          <w:tcPr>
            <w:tcW w:w="5500" w:type="dxa"/>
            <w:vAlign w:val="bottom"/>
            <w:tcBorders>
              <w:bottom w:val="single" w:sz="8" w:color="45B0E1"/>
              <w:right w:val="single" w:sz="8" w:color="45B0E1"/>
            </w:tcBorders>
          </w:tcPr>
          <w:p>
            <w:pPr>
              <w:ind w:left="100"/>
              <w:spacing w:after="0"/>
              <w:rPr>
                <w:sz w:val="20"/>
                <w:szCs w:val="20"/>
                <w:color w:val="auto"/>
              </w:rPr>
            </w:pPr>
            <w:r>
              <w:rPr>
                <w:rFonts w:ascii="Times New Roman" w:cs="Times New Roman" w:eastAsia="Times New Roman" w:hAnsi="Times New Roman"/>
                <w:sz w:val="18"/>
                <w:szCs w:val="18"/>
                <w:color w:val="auto"/>
              </w:rPr>
              <w:t>is a member of its key management personnel.</w:t>
            </w:r>
          </w:p>
        </w:tc>
      </w:tr>
      <w:tr>
        <w:trPr>
          <w:trHeight w:val="209"/>
        </w:trPr>
        <w:tc>
          <w:tcPr>
            <w:tcW w:w="5500" w:type="dxa"/>
            <w:vAlign w:val="bottom"/>
            <w:tcBorders>
              <w:left w:val="single" w:sz="8" w:color="45B0E1"/>
              <w:bottom w:val="single" w:sz="8" w:color="45B0E1"/>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Verda Venture, LLC, Series 4 (“MiniPay Fund”)</w:t>
            </w:r>
          </w:p>
        </w:tc>
        <w:tc>
          <w:tcPr>
            <w:tcW w:w="240" w:type="dxa"/>
            <w:vAlign w:val="bottom"/>
            <w:tcBorders>
              <w:bottom w:val="single" w:sz="8" w:color="45B0E1"/>
            </w:tcBorders>
            <w:shd w:val="clear" w:color="auto" w:fill="CFF0FC"/>
          </w:tcPr>
          <w:p>
            <w:pPr>
              <w:spacing w:after="0"/>
              <w:rPr>
                <w:sz w:val="18"/>
                <w:szCs w:val="18"/>
                <w:color w:val="auto"/>
              </w:rPr>
            </w:pPr>
          </w:p>
        </w:tc>
        <w:tc>
          <w:tcPr>
            <w:tcW w:w="5500" w:type="dxa"/>
            <w:vAlign w:val="bottom"/>
            <w:tcBorders>
              <w:bottom w:val="single" w:sz="8" w:color="45B0E1"/>
              <w:right w:val="single" w:sz="8" w:color="45B0E1"/>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Entity over which Opera has significant influence.</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189"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In January 2023, Opera sold marketable securities to Kunlun and Keeneyes Future Holding for $51.2 million and $7.8 million, respectively. The securities had been acquired under a program that was terminated after the sale (see Note 16). The transaction price was based on the daily average closing price over the 15 trading days preceding the sale date. The resulting receivables were settled through offsets against dividends payable to Kunlun and Keeneyes Future Holding following the special dividend declared in the same month (see Note 16).</w:t>
      </w:r>
    </w:p>
    <w:p>
      <w:pPr>
        <w:spacing w:after="0" w:line="139"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In January 2023, Opera entered into a strategic cooperation agreement with nHorizon Infinite under which nHorizon Infinite sources advertising inventory from supply-side platforms and publishers for resale by Opera to its customers. Under the agreement, nHorizon Infinite is entitled to 30% of the net revenue generated from such sales. At the time the agreement was entered into, nHorizon Infinite was classified as a joint venture, but later in 2023, the arrangement establishing joint control was terminated. The related party transactions table below includes income and expenses from transactions with nHorizon Infinite only for the period during which it was classified as a joint venture.</w:t>
      </w:r>
    </w:p>
    <w:p>
      <w:pPr>
        <w:spacing w:after="0" w:line="156"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In May 2024, Opera entered into an agreement with Kunlun under which Opera provides on-demand cloud computing resources, subject to available excess capacity, in exchange for fixed monthly fees per server instance. Revenue recognized under this arrangement was $0.7 million in 2024 and $1.5 million in 2025.</w:t>
      </w:r>
    </w:p>
    <w:p>
      <w:pPr>
        <w:spacing w:after="0" w:line="135"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In July 2024, Opera entered into subscription and capital commitment agreements with the MiniPay Fund, a venture fund managed by Verda Ventures (see Note 11). The investment is accounted as an associate under the equity method, as Opera has significant influence over the fund. During 2024 and 2025, Opera made capital contributions of $1.25 million and $2.5 million, respectively, and had remaining capital commitments of $6.25 million as of December 31, 2025.</w:t>
      </w:r>
    </w:p>
    <w:p>
      <w:pPr>
        <w:spacing w:after="0" w:line="139"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Kunlun has granted share options under its share incentive plan to certain Opera employees in respect of services provided to Opera. Opera has no obligation to settle the awards, and the awards do not result in dilution of Opera’s shareholders, as they are settled in Kunlun shares. Opera recognizes the fair value of the awards as a share-based compensation expense over the vesting period, with a corresponding increase in equity, reflecting an equity contribution from Kunlun. See Note 4 for additional details of Kunlun’s share incentive plan.</w:t>
      </w:r>
    </w:p>
    <w:p>
      <w:pPr>
        <w:spacing w:after="0" w:line="153" w:lineRule="exact"/>
        <w:rPr>
          <w:sz w:val="20"/>
          <w:szCs w:val="20"/>
          <w:color w:val="auto"/>
        </w:rPr>
      </w:pPr>
    </w:p>
    <w:p>
      <w:pPr>
        <w:ind w:right="740" w:firstLine="374"/>
        <w:spacing w:after="0" w:line="282" w:lineRule="auto"/>
        <w:rPr>
          <w:sz w:val="20"/>
          <w:szCs w:val="20"/>
          <w:color w:val="auto"/>
        </w:rPr>
      </w:pPr>
      <w:r>
        <w:rPr>
          <w:rFonts w:ascii="Times New Roman" w:cs="Times New Roman" w:eastAsia="Times New Roman" w:hAnsi="Times New Roman"/>
          <w:sz w:val="18"/>
          <w:szCs w:val="18"/>
          <w:color w:val="auto"/>
        </w:rPr>
        <w:t>Opera purchases various services from Kunlun in the ordinary course of business, including a lease of office premises in Beijing, China, and engineering services. In addition, certain costs incurred by Opera as a subsidiary of Kunlun are reimbursed by Kunlun.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amounts of transactions with related parties by type of transaction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6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Keeneyes Future Holding:</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Kunlun:</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goods and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goods and services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(1,361)</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(6,450)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(2,797)</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on Star X receivable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51,208</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nHorizon Infinite: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goods and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Purchases of goods and services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(2,448)</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MiniPay Fund: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Investment in units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Note 4 for details of key management personnel compensation.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Balances with Related Parties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shows outstanding balances with related parties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3"/>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r>
      <w:tr>
        <w:trPr>
          <w:trHeight w:val="202"/>
        </w:trPr>
        <w:tc>
          <w:tcPr>
            <w:tcW w:w="58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Payables</w:t>
            </w:r>
          </w:p>
        </w:tc>
        <w:tc>
          <w:tcPr>
            <w:tcW w:w="2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Payables</w:t>
            </w:r>
          </w:p>
        </w:tc>
        <w:tc>
          <w:tcPr>
            <w:tcW w:w="120" w:type="dxa"/>
            <w:vAlign w:val="bottom"/>
          </w:tcPr>
          <w:p>
            <w:pPr>
              <w:spacing w:after="0"/>
              <w:rPr>
                <w:sz w:val="17"/>
                <w:szCs w:val="17"/>
                <w:color w:val="auto"/>
              </w:rPr>
            </w:pPr>
          </w:p>
        </w:tc>
      </w:tr>
      <w:tr>
        <w:trPr>
          <w:trHeight w:val="21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Kunlun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140" w:type="dxa"/>
            <w:vAlign w:val="bottom"/>
            <w:gridSpan w:val="2"/>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OPay</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30"/>
        </w:trPr>
        <w:tc>
          <w:tcPr>
            <w:tcW w:w="5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9"/>
                <w:szCs w:val="19"/>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Loss allowances on related-party receivables were less than $0.1 million as of December 31, 2025 (2024: $0.1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Events After the Reporting Period</w:t>
      </w:r>
    </w:p>
    <w:p>
      <w:pPr>
        <w:spacing w:after="0" w:line="202" w:lineRule="exact"/>
        <w:rPr>
          <w:sz w:val="20"/>
          <w:szCs w:val="20"/>
          <w:color w:val="auto"/>
        </w:rPr>
      </w:pPr>
    </w:p>
    <w:p>
      <w:pPr>
        <w:ind w:right="120" w:firstLine="374"/>
        <w:spacing w:after="0" w:line="261" w:lineRule="auto"/>
        <w:rPr>
          <w:sz w:val="20"/>
          <w:szCs w:val="20"/>
          <w:color w:val="auto"/>
        </w:rPr>
      </w:pPr>
      <w:r>
        <w:rPr>
          <w:rFonts w:ascii="Times New Roman" w:cs="Times New Roman" w:eastAsia="Times New Roman" w:hAnsi="Times New Roman"/>
          <w:sz w:val="18"/>
          <w:szCs w:val="18"/>
          <w:color w:val="auto"/>
        </w:rPr>
        <w:t>In connection with the dividend of $0.40 per share paid on January 14, 2026 to shareholders of record as of January 7, 2026, all unexercised RSUs as of the record date were adjusted for the dividend, resulting in the issuance of an additional 61,376 RSUs. In February 2026, Opera granted an aggregate of 2,374,650 RSUs to employees and its independent directors, which vest over the 2026-2029 period, with a grant-date fair value of $12.34 per RSU. In addition, on March 4, 2026, Opera transferred 1,045,522 ADSs to employees upon the exercise of awards under Opera’s share incentive plan.</w:t>
      </w:r>
    </w:p>
    <w:p>
      <w:pPr>
        <w:spacing w:after="0" w:line="139" w:lineRule="exact"/>
        <w:rPr>
          <w:sz w:val="20"/>
          <w:szCs w:val="20"/>
          <w:color w:val="auto"/>
        </w:rPr>
      </w:pPr>
    </w:p>
    <w:p>
      <w:pPr>
        <w:ind w:right="20" w:firstLine="374"/>
        <w:spacing w:after="0" w:line="253" w:lineRule="auto"/>
        <w:rPr>
          <w:sz w:val="20"/>
          <w:szCs w:val="20"/>
          <w:color w:val="auto"/>
        </w:rPr>
      </w:pPr>
      <w:r>
        <w:rPr>
          <w:rFonts w:ascii="Times New Roman" w:cs="Times New Roman" w:eastAsia="Times New Roman" w:hAnsi="Times New Roman"/>
          <w:sz w:val="18"/>
          <w:szCs w:val="18"/>
          <w:color w:val="auto"/>
        </w:rPr>
        <w:t>On February 26, 2026, the Company’s Board of Directors authorized a discretionary share repurchase program of up to $300 million over a two-year period. Under the program, the Company will repurchase ADSs from the public market and ordinary shares from Kunlun, its majority shareholder, on a pro rata basis and at the volume-weighted average price paid to public investors in each quarterly period. The repurchase program does not obligate the Company to acquire any specific number of shares and may be modified or suspended by the Board at any time. Based on total shares outstanding of 90,693,578 prior to commencing share repurchases and 229,856 ADSs repurchased from the public market at an average price of $15.21 through the initial determination date of March 15, 2026, the Company repurchased 485,874 ordinary shares from Kunlun for an aggregate consideration of $7.4 million. In total, this represents 715,730 shares repurchased for the period from the opening of the trading window on March 2, 2026, through the initial determination date of March 15, 2026 for a total consideration of $10.9 million. Subsequently, through March 25, 2026, the Company repurchased an incremental 97,335 ADSs from the public market for $1.4 million. These and any further public market repurchases will be included in the determination of the next pro rata Kunlun repurchase as of the June 15, 2026 determination date.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PURCHASE AGREEMENT</w:t>
      </w:r>
    </w:p>
    <w:p>
      <w:pPr>
        <w:spacing w:after="0" w:line="215" w:lineRule="exact"/>
        <w:rPr>
          <w:sz w:val="20"/>
          <w:szCs w:val="20"/>
          <w:color w:val="auto"/>
        </w:rPr>
      </w:pPr>
    </w:p>
    <w:p>
      <w:pPr>
        <w:ind w:right="540" w:firstLine="374"/>
        <w:spacing w:after="0" w:line="286" w:lineRule="auto"/>
        <w:rPr>
          <w:sz w:val="20"/>
          <w:szCs w:val="20"/>
          <w:color w:val="auto"/>
        </w:rPr>
      </w:pPr>
      <w:r>
        <w:rPr>
          <w:rFonts w:ascii="Times New Roman" w:cs="Times New Roman" w:eastAsia="Times New Roman" w:hAnsi="Times New Roman"/>
          <w:sz w:val="18"/>
          <w:szCs w:val="18"/>
          <w:color w:val="auto"/>
        </w:rPr>
        <w:t>STOCK PURCHASE AGREEMENT dated as of March 24, 2026 among Opera Limited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Hong Kong Kunlun Tech Holding Limited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right="80" w:firstLine="374"/>
        <w:spacing w:after="0" w:line="286" w:lineRule="auto"/>
        <w:rPr>
          <w:sz w:val="20"/>
          <w:szCs w:val="20"/>
          <w:color w:val="auto"/>
        </w:rPr>
      </w:pPr>
      <w:r>
        <w:rPr>
          <w:rFonts w:ascii="Times New Roman" w:cs="Times New Roman" w:eastAsia="Times New Roman" w:hAnsi="Times New Roman"/>
          <w:sz w:val="18"/>
          <w:szCs w:val="18"/>
          <w:color w:val="auto"/>
        </w:rPr>
        <w:t>WHEREAS, the Company is authorized to purchase from time to time its publicly traded ADSs and ordinary shares (collectively,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pursuant to a share repurchase program authorized by the Board of Directors of the Company on February 26, 2026;</w:t>
      </w:r>
    </w:p>
    <w:p>
      <w:pPr>
        <w:spacing w:after="0" w:line="1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WHEREAS, Seller is the direct beneficial owner of Shares of the Company;</w:t>
      </w:r>
    </w:p>
    <w:p>
      <w:pPr>
        <w:spacing w:after="0" w:line="225"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WHEREAS Company wishes to buy and Seller wishes to sell a number of Shares that would represent a pro-rata repurchase between ADS purchased in the open market and Shares purchased from Seller based on the then-current distribution of ownership, such that purchases under the Company’s share repurchase program do not affect the ownership distribution between Seller and public market investors in the aggregate; and</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WHEREAS in consideration of the above recitals and of the mutual agreements and covenants contained in this Agreement, the Company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Sellers intending to be bound legally, each agree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Section 1.1. Definitions. (a) The following terms, as used herein, have the following meanings:</w:t>
      </w:r>
    </w:p>
    <w:p>
      <w:pPr>
        <w:spacing w:after="0" w:line="221" w:lineRule="exact"/>
        <w:rPr>
          <w:sz w:val="20"/>
          <w:szCs w:val="20"/>
          <w:color w:val="auto"/>
        </w:rPr>
      </w:pPr>
    </w:p>
    <w:p>
      <w:pPr>
        <w:jc w:val="both"/>
        <w:ind w:right="200" w:firstLine="37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Quarter</w:t>
      </w:r>
      <w:r>
        <w:rPr>
          <w:rFonts w:ascii="Times New Roman" w:cs="Times New Roman" w:eastAsia="Times New Roman" w:hAnsi="Times New Roman"/>
          <w:sz w:val="18"/>
          <w:szCs w:val="18"/>
          <w:color w:val="auto"/>
        </w:rPr>
        <w:t>” means the period starting on and including the 16th day of the third month of each calendar quarter and continuing until the 15th day of the third month of the subsequent calendar quarter in which the Company purchases Shares pursuant to the Program; provided, however, that Applicable Quarter shall also include such shorter period as may exist in the event that the Program is terminated or concluded.</w:t>
      </w:r>
    </w:p>
    <w:p>
      <w:pPr>
        <w:spacing w:after="0" w:line="171" w:lineRule="exact"/>
        <w:rPr>
          <w:sz w:val="20"/>
          <w:szCs w:val="20"/>
          <w:color w:val="auto"/>
        </w:rPr>
      </w:pPr>
    </w:p>
    <w:p>
      <w:pPr>
        <w:ind w:right="40" w:firstLine="374"/>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Average Price</w:t>
      </w:r>
      <w:r>
        <w:rPr>
          <w:rFonts w:ascii="Times New Roman" w:cs="Times New Roman" w:eastAsia="Times New Roman" w:hAnsi="Times New Roman"/>
          <w:sz w:val="17"/>
          <w:szCs w:val="17"/>
          <w:color w:val="auto"/>
        </w:rPr>
        <w:t>” means, for any Applicable Quarter, the average price, rounded to four decimal points, at which the Company purchased Shares during the Applicable Quarter pursuant to the Program in open market purchases, calculated as (a) the total purchase price paid by the Company (excluding commissions) for Shares purchased pursuant to the Program in open market purchases during such Applicable Quarter divided by (b) the total number of Shares purchased by the Company pursuant to the Program in open market purchases during such Applicable Quarter; provided that if the Agreement has been terminated in accordance with Section 7.1, the Average Price for any Closing thereafter shall be calculated only through the day immediately prior to the termination date of the Agreement. For the avoidance of doubt, Shares acquired in “open market purchases” shall not include the Acquired Shares.</w:t>
      </w:r>
    </w:p>
    <w:p>
      <w:pPr>
        <w:spacing w:after="0" w:line="168" w:lineRule="exact"/>
        <w:rPr>
          <w:sz w:val="20"/>
          <w:szCs w:val="20"/>
          <w:color w:val="auto"/>
        </w:rPr>
      </w:pPr>
    </w:p>
    <w:p>
      <w:pPr>
        <w:ind w:right="200" w:firstLine="37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means (a) for purposes of determining the date of a Closing or Closing Notice, a day on which banks are not required or authorized by law to close in New York City and (b) for all other purposes under this Agreement, a day on which the Nasdaq Stock Market is open for trading.</w:t>
      </w:r>
    </w:p>
    <w:p>
      <w:pPr>
        <w:spacing w:after="0" w:line="1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 Adjusted Average Price</w:t>
      </w:r>
      <w:r>
        <w:rPr>
          <w:rFonts w:ascii="Times New Roman" w:cs="Times New Roman" w:eastAsia="Times New Roman" w:hAnsi="Times New Roman"/>
          <w:sz w:val="18"/>
          <w:szCs w:val="18"/>
          <w:color w:val="auto"/>
        </w:rPr>
        <w:t xml:space="preserve">” means, the price per Share calculated in accordance with the formula and methodology set forth in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37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the date that is one trading day prior to the record date which has been established in connection with the declaration of a dividend in respect of the Acquired Shares or such other date as may be established with respect to the Shares as an “ex-dividend” date by the Nasdaq Stock Market.</w:t>
      </w:r>
    </w:p>
    <w:p>
      <w:pPr>
        <w:spacing w:after="0" w:line="171" w:lineRule="exact"/>
        <w:rPr>
          <w:sz w:val="20"/>
          <w:szCs w:val="20"/>
          <w:color w:val="auto"/>
        </w:rPr>
      </w:pPr>
    </w:p>
    <w:p>
      <w:pPr>
        <w:ind w:right="120" w:firstLine="37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with respect to any property or asset, any mortgage, lien, pledge, charge, security interest or other encumbrance of any kind in respect of such property or asset.</w:t>
      </w:r>
    </w:p>
    <w:p>
      <w:pPr>
        <w:spacing w:after="0" w:line="155" w:lineRule="exact"/>
        <w:rPr>
          <w:sz w:val="20"/>
          <w:szCs w:val="20"/>
          <w:color w:val="auto"/>
        </w:rPr>
      </w:pPr>
    </w:p>
    <w:p>
      <w:pPr>
        <w:ind w:right="540" w:firstLine="37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 government or political subdivision or an agency or instrumentality thereof.</w:t>
      </w:r>
    </w:p>
    <w:p>
      <w:pPr>
        <w:spacing w:after="0" w:line="155" w:lineRule="exact"/>
        <w:rPr>
          <w:sz w:val="20"/>
          <w:szCs w:val="20"/>
          <w:color w:val="auto"/>
        </w:rPr>
      </w:pPr>
    </w:p>
    <w:p>
      <w:pPr>
        <w:ind w:right="180" w:firstLine="37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Program</w:t>
      </w:r>
      <w:r>
        <w:rPr>
          <w:rFonts w:ascii="Times New Roman" w:cs="Times New Roman" w:eastAsia="Times New Roman" w:hAnsi="Times New Roman"/>
          <w:sz w:val="18"/>
          <w:szCs w:val="18"/>
          <w:color w:val="auto"/>
        </w:rPr>
        <w:t>” means the share repurchase program approved on February 26, 2026, authorizing the Company to purchase from time to time Shares up to a maximum aggregate amount of $300 million.</w:t>
      </w:r>
    </w:p>
    <w:p>
      <w:pPr>
        <w:spacing w:after="0" w:line="159" w:lineRule="exact"/>
        <w:rPr>
          <w:sz w:val="20"/>
          <w:szCs w:val="20"/>
          <w:color w:val="auto"/>
        </w:rPr>
      </w:pPr>
    </w:p>
    <w:p>
      <w:pPr>
        <w:ind w:right="40" w:firstLine="382"/>
        <w:spacing w:after="0" w:line="282" w:lineRule="auto"/>
        <w:tabs>
          <w:tab w:leader="none" w:pos="62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definitions of “Average Price” and “Daily Average Price,” Shares purchased by the Company pursuant to the Program shall be deemed to have been purchased on the trade date with respect to such Shares and not the day on which such trade settles.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27"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Purchase and Sale</w:t>
      </w:r>
      <w:r>
        <w:rPr>
          <w:rFonts w:ascii="Times New Roman" w:cs="Times New Roman" w:eastAsia="Times New Roman" w:hAnsi="Times New Roman"/>
          <w:sz w:val="18"/>
          <w:szCs w:val="18"/>
          <w:color w:val="auto"/>
        </w:rPr>
        <w:t>. Upon the terms and subject to the conditions of this Agreement, Seller agrees to sell, transfer, assign and deliver to the Company, and the Company agrees to purchase from Seller, with respect to each Applicable Quarter, a number of Shares at each Closing calculated in accordance with Annex A hereto (the Shares acquired from Seller, the “</w:t>
      </w:r>
      <w:r>
        <w:rPr>
          <w:rFonts w:ascii="Times New Roman" w:cs="Times New Roman" w:eastAsia="Times New Roman" w:hAnsi="Times New Roman"/>
          <w:sz w:val="18"/>
          <w:szCs w:val="18"/>
          <w:b w:val="1"/>
          <w:bCs w:val="1"/>
          <w:color w:val="auto"/>
        </w:rPr>
        <w:t>Acquired Shares</w:t>
      </w:r>
      <w:r>
        <w:rPr>
          <w:rFonts w:ascii="Times New Roman" w:cs="Times New Roman" w:eastAsia="Times New Roman" w:hAnsi="Times New Roman"/>
          <w:sz w:val="18"/>
          <w:szCs w:val="18"/>
          <w:color w:val="auto"/>
        </w:rPr>
        <w:t>”). In the event that the Agreement is terminated pursuant to Section 7.1, the day immediately prior to the termination date will be deemed to be the last day of the Applicable Quarter.</w:t>
      </w:r>
    </w:p>
    <w:p>
      <w:pPr>
        <w:spacing w:after="0" w:line="17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The aggregate purchase price for the Acquired Shares at each Closing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shall be equal to the product of (i) the aggregate number of Acquired Shares to be purchased at such Closing multiplied by (ii) the Dividend Adjusted Average Price. The parties acknowledge and agree that the Dividend Adjusted Average Price is intended to ensure that the Seller receives the same economic consideration per Share as if the Acquired Shares had been repurchased by the Company concurrently, and in the same pro rata proportion, as the ADSs repurchased in the open market during the Applicable Quarter. Accordingly, the Dividend Adjusted Average Price shall be calculated to neutralize the impact of any dividends by adjusting the daily volume-weighted average price of ADSs repurchased prior to an Ex-Dividend Date, as further detailed in Annex A. The Purchase Price shall be paid as provided in Section 2.3.</w:t>
      </w:r>
    </w:p>
    <w:p>
      <w:pPr>
        <w:spacing w:after="0" w:line="185" w:lineRule="exact"/>
        <w:rPr>
          <w:sz w:val="20"/>
          <w:szCs w:val="20"/>
          <w:color w:val="auto"/>
        </w:rPr>
      </w:pPr>
    </w:p>
    <w:p>
      <w:pPr>
        <w:ind w:firstLine="374"/>
        <w:spacing w:after="0" w:line="277"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i w:val="1"/>
          <w:iCs w:val="1"/>
          <w:color w:val="auto"/>
        </w:rPr>
        <w:t>Reporting &amp; Payment</w:t>
      </w:r>
      <w:r>
        <w:rPr>
          <w:rFonts w:ascii="Times New Roman" w:cs="Times New Roman" w:eastAsia="Times New Roman" w:hAnsi="Times New Roman"/>
          <w:sz w:val="17"/>
          <w:szCs w:val="17"/>
          <w:color w:val="auto"/>
        </w:rPr>
        <w:t>. Within five Business Days after the end of each Applicable Quarter, the Company shall deliver to Seller a notice (each, a “</w:t>
      </w:r>
      <w:r>
        <w:rPr>
          <w:rFonts w:ascii="Times New Roman" w:cs="Times New Roman" w:eastAsia="Times New Roman" w:hAnsi="Times New Roman"/>
          <w:sz w:val="17"/>
          <w:szCs w:val="17"/>
          <w:b w:val="1"/>
          <w:bCs w:val="1"/>
          <w:color w:val="auto"/>
        </w:rPr>
        <w:t>Closing Notice</w:t>
      </w:r>
      <w:r>
        <w:rPr>
          <w:rFonts w:ascii="Times New Roman" w:cs="Times New Roman" w:eastAsia="Times New Roman" w:hAnsi="Times New Roman"/>
          <w:sz w:val="17"/>
          <w:szCs w:val="17"/>
          <w:color w:val="auto"/>
        </w:rPr>
        <w:t>”) setting forth (i) the number of Acquired Shares to be purchased by the Company from Seller pursuant to Section 2.1, (ii) the Purchase Price and (iii) details of the calculation of the Purchase Price sufficient to allow Seller to reproduce the calculation of the Purchase Price. Subject to the satisfaction or waiver by Seller and the Company of the conditions set forth in Article 6, each closing of the purchase and sale of the Acquired Shares hereunder shall take place automatically on the third Business Day before the end of the calendar quarter immediately following each Applicable Quarter.</w:t>
      </w:r>
    </w:p>
    <w:p>
      <w:pPr>
        <w:spacing w:after="0" w:line="170"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At each Closing: (a) The Company shall deliver to Seller the Purchase Price by wire transfer in accordance with the payment instructions provided to the Company from time to time by Seller; and (b) the Company shall update the register of members to reflect the delivery Seller of the Acquired Shares (and the Seller shall cooperate in providing any required signatures or confirmations needed to effect such update) and the Seller shall thereafter promptly deliver any certificates representing the Acquired Shares to the Company or its designee.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Seller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Seller represents and warrants to the Company with respect to any Seller, as of the date hereof and as of the date of each Closing that:</w:t>
      </w:r>
    </w:p>
    <w:p>
      <w:pPr>
        <w:spacing w:after="0" w:line="223" w:lineRule="exact"/>
        <w:rPr>
          <w:sz w:val="20"/>
          <w:szCs w:val="20"/>
          <w:color w:val="auto"/>
        </w:rPr>
      </w:pPr>
    </w:p>
    <w:p>
      <w:pPr>
        <w:ind w:right="4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The Seller (i) is a corporation duly incorporated, validly existing and in good standing under the laws of the Hong Kong and (ii) has all corporate powers and all material governmental licenses, authorizations, permits, consents and approvals required to perform its obligations under this Agreement.</w:t>
      </w:r>
    </w:p>
    <w:p>
      <w:pPr>
        <w:spacing w:after="0" w:line="173" w:lineRule="exact"/>
        <w:rPr>
          <w:sz w:val="20"/>
          <w:szCs w:val="20"/>
          <w:color w:val="auto"/>
        </w:rPr>
      </w:pPr>
    </w:p>
    <w:p>
      <w:pPr>
        <w:ind w:right="6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 The execution and delivery by Seller of this Agreement and the consummation of the transactions contemplated hereby are within the powers, corporate or otherwise, of Seller and have been duly authorized by all necessary action on the part of Seller. This Agreement constitutes a valid and binding agreement of Seller enforceable against Seller in accordance with its terms.</w:t>
      </w:r>
    </w:p>
    <w:p>
      <w:pPr>
        <w:spacing w:after="0" w:line="173" w:lineRule="exact"/>
        <w:rPr>
          <w:sz w:val="20"/>
          <w:szCs w:val="20"/>
          <w:color w:val="auto"/>
        </w:rPr>
      </w:pPr>
    </w:p>
    <w:p>
      <w:pPr>
        <w:ind w:right="64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and delivery by Seller of this Agreement and the consummation of the transactions contemplated hereby require no prior action by or in respect of, or prior filing with, any governmental organization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00" w:firstLine="374"/>
        <w:spacing w:after="0" w:line="271"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i w:val="1"/>
          <w:iCs w:val="1"/>
          <w:color w:val="auto"/>
        </w:rPr>
        <w:t>Noncontravention</w:t>
      </w:r>
      <w:r>
        <w:rPr>
          <w:rFonts w:ascii="Times New Roman" w:cs="Times New Roman" w:eastAsia="Times New Roman" w:hAnsi="Times New Roman"/>
          <w:sz w:val="17"/>
          <w:szCs w:val="17"/>
          <w:color w:val="auto"/>
        </w:rPr>
        <w:t>. The execution and delivery by Seller of this Agreement and the consummation of the transactions contemplated hereby do not and will not (i) violate the organization documents of Seller, (ii)violate any applicable law, rule, regulation, judgment, injunction, order or decree (iii) require any consent or other action by any Person under, constitute a default under, or give rise to any right of termination, cancellation or acceleration of any right or obligation of Seller under any provision of any agreement or other instrument binding upon any Seller, except with respect to</w:t>
      </w:r>
    </w:p>
    <w:p>
      <w:pPr>
        <w:spacing w:after="0" w:line="1" w:lineRule="exact"/>
        <w:rPr>
          <w:sz w:val="20"/>
          <w:szCs w:val="20"/>
          <w:color w:val="auto"/>
        </w:rPr>
      </w:pPr>
    </w:p>
    <w:p>
      <w:pPr>
        <w:ind w:right="380" w:firstLine="8"/>
        <w:spacing w:after="0" w:line="260" w:lineRule="auto"/>
        <w:tabs>
          <w:tab w:leader="none" w:pos="26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where such violation, consent, action, default or right of termination, cancellation or acceleration would not adversely affect the ability of Seller to perform its obligations under this Agreement or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6" w:name="page107"/>
    <w:bookmarkEnd w:id="106"/>
    <w:p>
      <w:pPr>
        <w:ind w:left="38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Ownership of Shares</w:t>
      </w:r>
      <w:r>
        <w:rPr>
          <w:rFonts w:ascii="Times New Roman" w:cs="Times New Roman" w:eastAsia="Times New Roman" w:hAnsi="Times New Roman"/>
          <w:sz w:val="18"/>
          <w:szCs w:val="18"/>
          <w:color w:val="auto"/>
        </w:rPr>
        <w:t>. As of the time of each Closing hereunder, Seller will be the legal owner of the Acquired Shares to be sold at such</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and will transfer and deliver to the Company at each Closing valid title to the Acquired Shares to be sold at such Closing free and clear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and any other limitation or restriction (including any restriction on the right to sell or otherwise dispose of the Acquired Shares).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represents and warrants to Seller as of the date hereof and as of the date of each Closing that:</w:t>
      </w:r>
    </w:p>
    <w:p>
      <w:pPr>
        <w:spacing w:after="0" w:line="223" w:lineRule="exact"/>
        <w:rPr>
          <w:sz w:val="20"/>
          <w:szCs w:val="20"/>
          <w:color w:val="auto"/>
        </w:rPr>
      </w:pPr>
    </w:p>
    <w:p>
      <w:pPr>
        <w:ind w:right="36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i w:val="1"/>
          <w:iCs w:val="1"/>
          <w:color w:val="auto"/>
        </w:rPr>
        <w:t>Corporate Existence and Power</w:t>
      </w:r>
      <w:r>
        <w:rPr>
          <w:rFonts w:ascii="Times New Roman" w:cs="Times New Roman" w:eastAsia="Times New Roman" w:hAnsi="Times New Roman"/>
          <w:sz w:val="18"/>
          <w:szCs w:val="18"/>
          <w:color w:val="auto"/>
        </w:rPr>
        <w:t>. The Company (i) is a corporation duly incorporated, validly existing and in good standing under the laws of the Cayman Islands and (ii) has all corporate powers and all material governmental licenses, authorizations, permits, consents and approvals required to perform its obligations under this Agreement.</w:t>
      </w:r>
    </w:p>
    <w:p>
      <w:pPr>
        <w:spacing w:after="0" w:line="173" w:lineRule="exact"/>
        <w:rPr>
          <w:sz w:val="20"/>
          <w:szCs w:val="20"/>
          <w:color w:val="auto"/>
        </w:rPr>
      </w:pPr>
    </w:p>
    <w:p>
      <w:pPr>
        <w:ind w:right="16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i w:val="1"/>
          <w:iCs w:val="1"/>
          <w:color w:val="auto"/>
        </w:rPr>
        <w:t>Corporate Authorization</w:t>
      </w:r>
      <w:r>
        <w:rPr>
          <w:rFonts w:ascii="Times New Roman" w:cs="Times New Roman" w:eastAsia="Times New Roman" w:hAnsi="Times New Roman"/>
          <w:sz w:val="18"/>
          <w:szCs w:val="18"/>
          <w:color w:val="auto"/>
        </w:rPr>
        <w:t>. The execution, delivery and performance by the Company of this Agreement and the consummation of the transactions contemplated hereby are within the corporate powers of the Company and have been duly authorized by all necessary corporate action on the part of the Company. This Agreement constitutes a valid and binding agreement of the Company enforceable against the Company in accordance with its terms.</w:t>
      </w:r>
    </w:p>
    <w:p>
      <w:pPr>
        <w:spacing w:after="0" w:line="180" w:lineRule="exact"/>
        <w:rPr>
          <w:sz w:val="20"/>
          <w:szCs w:val="20"/>
          <w:color w:val="auto"/>
        </w:rPr>
      </w:pPr>
    </w:p>
    <w:p>
      <w:pPr>
        <w:ind w:right="12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i w:val="1"/>
          <w:iCs w:val="1"/>
          <w:color w:val="auto"/>
        </w:rPr>
        <w:t>Governmental Authorization</w:t>
      </w:r>
      <w:r>
        <w:rPr>
          <w:rFonts w:ascii="Times New Roman" w:cs="Times New Roman" w:eastAsia="Times New Roman" w:hAnsi="Times New Roman"/>
          <w:sz w:val="18"/>
          <w:szCs w:val="18"/>
          <w:color w:val="auto"/>
        </w:rPr>
        <w:t>. The execution, delivery and performance by the Company of this Agreement and the consummation of the transactions contemplated hereby require no prior action by or in respect of, or prior filing with, any Governmental Authority.</w:t>
      </w:r>
    </w:p>
    <w:p>
      <w:pPr>
        <w:spacing w:after="0" w:line="158"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The execution, delivery and performance by the Company of this Agreement and the consummation of the transactions contemplated hereby do not and will not (i) violate the articles of association of the Company, (ii) assuming compliance with the matters referred to in Section 4.3, violate any applicable law, rule, regulation, judgment, injunction, order or decree, (iii) require any consent or other action by any Person under, constitute a default under, or give rise to any right of termination, cancellation or acceleration of any right or obligation of the Company under any provision of any agreement or other instrument binding upon the Company, except with respect to (ii) and (iii), where such violation, consent, action, default or right of termination, cancellation or acceleration would not adversely affect the ability of the Company to perform its obligations under this Agreement or to consummate the transactions contemplated hereby.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Covenants of the Company and Seller</w:t>
      </w:r>
    </w:p>
    <w:p>
      <w:pPr>
        <w:spacing w:after="0" w:line="227" w:lineRule="exact"/>
        <w:rPr>
          <w:sz w:val="20"/>
          <w:szCs w:val="20"/>
          <w:color w:val="auto"/>
        </w:rPr>
      </w:pPr>
    </w:p>
    <w:p>
      <w:pPr>
        <w:ind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i w:val="1"/>
          <w:iCs w:val="1"/>
          <w:color w:val="auto"/>
        </w:rPr>
        <w:t>Reasonable Commercial Efforts; Further Assurances</w:t>
      </w:r>
      <w:r>
        <w:rPr>
          <w:rFonts w:ascii="Times New Roman" w:cs="Times New Roman" w:eastAsia="Times New Roman" w:hAnsi="Times New Roman"/>
          <w:sz w:val="18"/>
          <w:szCs w:val="18"/>
          <w:color w:val="auto"/>
        </w:rPr>
        <w:t>. Subject to the terms and conditions of this Agreement, the Company and Seller will use their reasonable commercial efforts to take, or cause to be taken, all actions and to do, or cause to be done, all things necessary or desirable under applicable laws and regulations to consummate the transactions contemplated by this Agreement.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27"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i w:val="1"/>
          <w:iCs w:val="1"/>
          <w:color w:val="auto"/>
        </w:rPr>
        <w:t>Conditions to Obligations of the Company and Seller</w:t>
      </w:r>
      <w:r>
        <w:rPr>
          <w:rFonts w:ascii="Times New Roman" w:cs="Times New Roman" w:eastAsia="Times New Roman" w:hAnsi="Times New Roman"/>
          <w:sz w:val="18"/>
          <w:szCs w:val="18"/>
          <w:color w:val="auto"/>
        </w:rPr>
        <w:t>. The obligations of the Company and Seller to consummate each Closing is subject to the satisfaction of the following conditions: (a) No provision of any applicable law or regulation and no judgment, injunction, order or decree shall prohibit the consummation of any Closing; and (b) all actions by or in respect of or filings with any governmental body, agency, official or authority required to permit the consummation of each Closing shall have been taken, made or obtained.</w:t>
      </w:r>
    </w:p>
    <w:p>
      <w:pPr>
        <w:spacing w:after="0" w:line="180" w:lineRule="exact"/>
        <w:rPr>
          <w:sz w:val="20"/>
          <w:szCs w:val="20"/>
          <w:color w:val="auto"/>
        </w:rPr>
      </w:pPr>
    </w:p>
    <w:p>
      <w:pPr>
        <w:ind w:right="14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i w:val="1"/>
          <w:iCs w:val="1"/>
          <w:color w:val="auto"/>
        </w:rPr>
        <w:t>Conditions to Obligations of the Company</w:t>
      </w:r>
      <w:r>
        <w:rPr>
          <w:rFonts w:ascii="Times New Roman" w:cs="Times New Roman" w:eastAsia="Times New Roman" w:hAnsi="Times New Roman"/>
          <w:sz w:val="18"/>
          <w:szCs w:val="18"/>
          <w:color w:val="auto"/>
        </w:rPr>
        <w:t>. The obligation of the Company to consummate each Closing is subject to the satisfaction (or waiver by the Company) of the following conditions: (a) Seller shall have performed in all material respects all of his respective obligations hereunder required to be performed by him on or prior to such Closing; and (b) the representations and warranties of Seller hereunder contained in this Agreement shall be true in all material respects at and as of such Closing as if made at and as of such date.</w:t>
      </w:r>
    </w:p>
    <w:p>
      <w:pPr>
        <w:spacing w:after="0" w:line="180"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i w:val="1"/>
          <w:iCs w:val="1"/>
          <w:color w:val="auto"/>
        </w:rPr>
        <w:t>Conditions to Obligation of Seller</w:t>
      </w:r>
      <w:r>
        <w:rPr>
          <w:rFonts w:ascii="Times New Roman" w:cs="Times New Roman" w:eastAsia="Times New Roman" w:hAnsi="Times New Roman"/>
          <w:sz w:val="18"/>
          <w:szCs w:val="18"/>
          <w:color w:val="auto"/>
        </w:rPr>
        <w:t>. The obligation of Seller to consummate each Closing is subject to the satisfaction (or waiver by Seller) of the following conditions: (a) The Company shall have performed in all material respects all of its obligations hereunder required to be performed by it at or prior to such Closing; and(b) the representations and warranties of the Company contained in this Agreement shall be true in all material respects at and as of such Closing as if made at and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This Agreement shall terminate:</w:t>
      </w:r>
    </w:p>
    <w:p>
      <w:pPr>
        <w:spacing w:after="0" w:line="187" w:lineRule="exact"/>
        <w:rPr>
          <w:sz w:val="20"/>
          <w:szCs w:val="20"/>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joint written agreement of the Company and Seller; or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Business Days after notice by Seller, on the one hand, or the Company, on the other hand; or</w:t>
      </w:r>
    </w:p>
    <w:p>
      <w:pPr>
        <w:spacing w:after="0" w:line="18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written notice by the Company, if a breach of or failure to perform any representation, warranty, covenant or agreement on the part of Seller set forth in this Agreement shall have occurred that would cause any of the conditions set forth in Sections 6.2(a) and 6.2(b) not to be satisfied, and any such condition is incapable of being satisfied by the next Closing; or</w:t>
      </w:r>
    </w:p>
    <w:p>
      <w:pPr>
        <w:spacing w:after="0" w:line="135" w:lineRule="exact"/>
        <w:rPr>
          <w:rFonts w:ascii="Times New Roman" w:cs="Times New Roman" w:eastAsia="Times New Roman" w:hAnsi="Times New Roman"/>
          <w:sz w:val="18"/>
          <w:szCs w:val="18"/>
          <w:color w:val="auto"/>
        </w:rPr>
      </w:pPr>
    </w:p>
    <w:p>
      <w:pPr>
        <w:ind w:left="760" w:right="140" w:hanging="378"/>
        <w:spacing w:after="0" w:line="266"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written notice by Seller, if a breach of or failure to perform any representation, warranty, covenant or agreement on the part of the Company set forth in this Agreement shall have occurred that would cause any of the conditions set forth in Sections 6.3(a) and 6.3(b) not to be satisfied, and any such condition is incapable of being satisfied by the next Closing; or</w:t>
      </w:r>
    </w:p>
    <w:p>
      <w:pPr>
        <w:spacing w:after="0" w:line="148"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written notice by either Seller or the Company if there shall be any law or regulation that makes consummation of the transactions contemplated hereby illegal or otherwise prohibited or if consummation of the transactions contemplated hereby would violate any non appealable final order, decree or judgment of any court or governmental body having competent jurisdiction; or</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termination or completion of the Program;</w:t>
      </w:r>
    </w:p>
    <w:p>
      <w:pPr>
        <w:spacing w:after="0" w:line="223" w:lineRule="exact"/>
        <w:rPr>
          <w:sz w:val="20"/>
          <w:szCs w:val="20"/>
          <w:color w:val="auto"/>
        </w:rPr>
      </w:pPr>
    </w:p>
    <w:p>
      <w:pPr>
        <w:ind w:right="640" w:firstLine="374"/>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with respect to (a) and (b) above, such termination shall not affect the settlement of Acquired Shares in respect of any purchases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Program which have occurred or are deemed to have occurred prior to the effective date of the termination of this Agreement.</w:t>
      </w:r>
    </w:p>
    <w:p>
      <w:pPr>
        <w:spacing w:after="0" w:line="137"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The party desiring to terminate this Agreement pursuant to clauses (b), (c), (d) or (e) above shall give written notice of such termination to the other party.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7"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i w:val="1"/>
          <w:iCs w:val="1"/>
          <w:color w:val="auto"/>
        </w:rPr>
        <w:t>Survival</w:t>
      </w:r>
      <w:r>
        <w:rPr>
          <w:rFonts w:ascii="Times New Roman" w:cs="Times New Roman" w:eastAsia="Times New Roman" w:hAnsi="Times New Roman"/>
          <w:sz w:val="18"/>
          <w:szCs w:val="18"/>
          <w:color w:val="auto"/>
        </w:rPr>
        <w:t xml:space="preserve">. The covenants, agreements, representations and warranties of the parties hereto contained in this Agreement or in any certificate or other writing delivered pursuant hereto shall not survive the termination of this Agreement other than with respect to a Closing for Acquired Shares which follows a termination of the Agreement pursuant to Sections 7.1(a) or (b);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covenants, agreements, representations and warranties contained in Articles 3, 4 and 8 shall survive indefinitely;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nothing shall relieve any party for liability at any time with respect to any breach occurring prior to the termination of this Agreement.</w:t>
      </w:r>
    </w:p>
    <w:p>
      <w:pPr>
        <w:spacing w:after="0" w:line="183" w:lineRule="exact"/>
        <w:rPr>
          <w:sz w:val="20"/>
          <w:szCs w:val="20"/>
          <w:color w:val="auto"/>
        </w:rPr>
      </w:pPr>
    </w:p>
    <w:p>
      <w:pPr>
        <w:ind w:right="42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requests and other communications to any party hereunder shall be in writing and shall be given by email to the other’s party’s designated point(s) of contact.</w:t>
      </w:r>
    </w:p>
    <w:p>
      <w:pPr>
        <w:spacing w:after="0" w:line="158"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i w:val="1"/>
          <w:iCs w:val="1"/>
          <w:color w:val="auto"/>
        </w:rPr>
        <w:t>Amendments and Waivers</w:t>
      </w:r>
      <w:r>
        <w:rPr>
          <w:rFonts w:ascii="Times New Roman" w:cs="Times New Roman" w:eastAsia="Times New Roman" w:hAnsi="Times New Roman"/>
          <w:sz w:val="18"/>
          <w:szCs w:val="18"/>
          <w:color w:val="auto"/>
        </w:rPr>
        <w:t>. Any provision of this Agreement may be amended or waived if, but only if, such amendment or waiver is in writing and is signed, in the case of an amendment, by both parties to this Agreement, or in the case of a waiver, by the party against whom the waiver is to be effective. The failure or delay by any party in exercising any right, power or privilege hereunder shall not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3" w:lineRule="exact"/>
        <w:rPr>
          <w:sz w:val="20"/>
          <w:szCs w:val="20"/>
          <w:color w:val="auto"/>
        </w:rPr>
      </w:pPr>
    </w:p>
    <w:p>
      <w:pPr>
        <w:ind w:right="18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All costs and expenses incurred in connection with this Agreement and the transactions contemplated hereby shall be paid by the party incurring such cost or expense.</w:t>
      </w:r>
    </w:p>
    <w:p>
      <w:pPr>
        <w:spacing w:after="0" w:line="158" w:lineRule="exact"/>
        <w:rPr>
          <w:sz w:val="20"/>
          <w:szCs w:val="20"/>
          <w:color w:val="auto"/>
        </w:rPr>
      </w:pPr>
    </w:p>
    <w:p>
      <w:pPr>
        <w:ind w:right="18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party may assign or delegate any of its rights or obligations under this Agreement without the consent of each other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8" w:name="page109"/>
    <w:bookmarkEnd w:id="108"/>
    <w:p>
      <w:pPr>
        <w:ind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Agreement shall be governed by and construed in accordance with the law of the State of New York (without regard to principles of conflicts of laws).</w:t>
      </w:r>
    </w:p>
    <w:p>
      <w:pPr>
        <w:spacing w:after="0" w:line="158" w:lineRule="exact"/>
        <w:rPr>
          <w:sz w:val="20"/>
          <w:szCs w:val="20"/>
          <w:color w:val="auto"/>
        </w:rPr>
      </w:pPr>
    </w:p>
    <w:p>
      <w:pPr>
        <w:ind w:right="100" w:firstLine="374"/>
        <w:spacing w:after="0" w:line="254"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i w:val="1"/>
          <w:iCs w:val="1"/>
          <w:color w:val="auto"/>
        </w:rPr>
        <w:t>Jurisdiction</w:t>
      </w:r>
      <w:r>
        <w:rPr>
          <w:rFonts w:ascii="Times New Roman" w:cs="Times New Roman" w:eastAsia="Times New Roman" w:hAnsi="Times New Roman"/>
          <w:sz w:val="18"/>
          <w:szCs w:val="18"/>
          <w:color w:val="auto"/>
        </w:rPr>
        <w:t>. The parties hereto agree that any suit, action or proceeding seeking to enforce any provision of, or based on any matter arising out of or in connection with, this Agreement or the transactions contemplated hereby shall be brought exclusively in a state or federal court located in New York County, New York, so long as one of such courts shall have subject matter jurisdiction over such suit, action or proceeding,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8.2 shall be deemed effective service of process on such party.</w:t>
      </w:r>
    </w:p>
    <w:p>
      <w:pPr>
        <w:spacing w:after="0" w:line="188" w:lineRule="exact"/>
        <w:rPr>
          <w:sz w:val="20"/>
          <w:szCs w:val="20"/>
          <w:color w:val="auto"/>
        </w:rPr>
      </w:pPr>
    </w:p>
    <w:p>
      <w:pPr>
        <w:ind w:right="28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PARTIES HERETO HEREBY IRREVOCABLY WAIVES ANY AND ALL RIGHT TO TRIAL BY JURY IN ANY LEGAL PROCEEDING ARISING OUT OF OR RELATED TO THIS AGREEMENT OR THE TRANSACTIONS CONTEMPLATED HEREBY.</w:t>
      </w:r>
    </w:p>
    <w:p>
      <w:pPr>
        <w:spacing w:after="0" w:line="173" w:lineRule="exact"/>
        <w:rPr>
          <w:sz w:val="20"/>
          <w:szCs w:val="20"/>
          <w:color w:val="auto"/>
        </w:rPr>
      </w:pPr>
    </w:p>
    <w:p>
      <w:pPr>
        <w:ind w:right="380" w:firstLine="374"/>
        <w:spacing w:after="0" w:line="261"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Third Party Beneficiaries.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No provision of this Agreement is intended to confer upon any Person other than the Company or Seller any rights or remedies hereunder.</w:t>
      </w:r>
    </w:p>
    <w:p>
      <w:pPr>
        <w:spacing w:after="0" w:line="180" w:lineRule="exact"/>
        <w:rPr>
          <w:sz w:val="20"/>
          <w:szCs w:val="20"/>
          <w:color w:val="auto"/>
        </w:rPr>
      </w:pPr>
    </w:p>
    <w:p>
      <w:pPr>
        <w:ind w:right="380" w:firstLine="374"/>
        <w:spacing w:after="0" w:line="267"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constitutes the entire agreement between the parties with respect to the subject matter of this Agreement and supersedes all prior agreements and understandings, both oral and written, between the parties with respect to the subject matter of this Agreement.</w:t>
      </w:r>
    </w:p>
    <w:p>
      <w:pPr>
        <w:spacing w:after="0" w:line="173" w:lineRule="exact"/>
        <w:rPr>
          <w:sz w:val="20"/>
          <w:szCs w:val="20"/>
          <w:color w:val="auto"/>
        </w:rPr>
      </w:pPr>
    </w:p>
    <w:p>
      <w:pPr>
        <w:ind w:right="22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i w:val="1"/>
          <w:iCs w:val="1"/>
          <w:color w:val="auto"/>
        </w:rPr>
        <w:t>Captions</w:t>
      </w:r>
      <w:r>
        <w:rPr>
          <w:rFonts w:ascii="Times New Roman" w:cs="Times New Roman" w:eastAsia="Times New Roman" w:hAnsi="Times New Roman"/>
          <w:sz w:val="18"/>
          <w:szCs w:val="18"/>
          <w:color w:val="auto"/>
        </w:rPr>
        <w:t>. The captions herein are included for convenience of reference only and shall be ignored in the construction or interpretation 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4736465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9" w:name="page110"/>
    <w:bookmarkEnd w:id="109"/>
    <w:p>
      <w:pPr>
        <w:ind w:firstLine="374"/>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378" w:lineRule="exact"/>
        <w:rPr>
          <w:sz w:val="20"/>
          <w:szCs w:val="20"/>
          <w:color w:val="auto"/>
        </w:rPr>
      </w:pPr>
    </w:p>
    <w:tbl>
      <w:tblPr>
        <w:tblLayout w:type="fixed"/>
        <w:tblInd w:w="57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 LIMITED</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Frode Jacobsen</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Frode Jacobsen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CFO</w:t>
            </w:r>
          </w:p>
        </w:tc>
      </w:tr>
      <w:tr>
        <w:trPr>
          <w:trHeight w:val="648"/>
        </w:trPr>
        <w:tc>
          <w:tcPr>
            <w:tcW w:w="80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HONG KONG KUNLUN TECH HOLDING LTD</w:t>
            </w: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Tian Jin</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Tian Jin</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110" w:name="page111"/>
    <w:bookmarkEnd w:id="1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ACQUIRED SHARES CALCULATION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Quantity of Acquired Shares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number of Acquired Shares to be purchased from Seller at each Closing shall be equal to:</w:t>
      </w:r>
    </w:p>
    <w:p>
      <w:pPr>
        <w:spacing w:after="0" w:line="185" w:lineRule="exact"/>
        <w:rPr>
          <w:sz w:val="20"/>
          <w:szCs w:val="20"/>
          <w:color w:val="auto"/>
        </w:rPr>
      </w:pPr>
    </w:p>
    <w:p>
      <w:pPr>
        <w:ind w:left="760" w:right="540" w:hanging="378"/>
        <w:spacing w:after="0" w:line="282"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of (1) the Seller’s ownership percentage at the start of each Applicable Quarter divided by (2) 1 minus the Seller’s ownership percentage.</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multiplied by</w:t>
      </w:r>
    </w:p>
    <w:p>
      <w:pPr>
        <w:spacing w:after="0" w:line="185" w:lineRule="exact"/>
        <w:rPr>
          <w:sz w:val="20"/>
          <w:szCs w:val="20"/>
          <w:color w:val="auto"/>
        </w:rPr>
      </w:pPr>
    </w:p>
    <w:p>
      <w:pPr>
        <w:ind w:left="760" w:right="60" w:hanging="378"/>
        <w:spacing w:after="0" w:line="282" w:lineRule="auto"/>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purchased by the Company pursuant to the Program (open market purchases and otherwise) with respect to the Applicable Quarter (excluding any Acquired Shares);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number of Acquired Shares for the Applicable Quarter shall be rounded to the nearest whole Acquired Share, and</w:t>
      </w:r>
    </w:p>
    <w:p>
      <w:pPr>
        <w:spacing w:after="0" w:line="225" w:lineRule="exact"/>
        <w:rPr>
          <w:sz w:val="20"/>
          <w:szCs w:val="20"/>
          <w:color w:val="auto"/>
        </w:rPr>
      </w:pPr>
    </w:p>
    <w:p>
      <w:pPr>
        <w:ind w:right="100"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event the Seller’s ownership percentage changes during an Applicable Quarter, for reasons other than the temporary effect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purchases in the open market in accordance with this Agreement, the calculation shall be performed separately for periods prior to and subsequent to such change.</w:t>
      </w:r>
    </w:p>
    <w:p>
      <w:pPr>
        <w:spacing w:after="0" w:line="175"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For purposes of the Acquired Shares calculation, Shares purchased in the open market by the Company pursuant to the Program shall be deemed to have been purchased on the trade date with respect to such Shares and not the day on which such trade settles.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229" w:lineRule="exact"/>
        <w:rPr>
          <w:sz w:val="20"/>
          <w:szCs w:val="20"/>
          <w:color w:val="auto"/>
        </w:rPr>
      </w:pPr>
    </w:p>
    <w:p>
      <w:pPr>
        <w:ind w:right="400" w:firstLine="374"/>
        <w:spacing w:after="0" w:line="282" w:lineRule="auto"/>
        <w:rPr>
          <w:sz w:val="20"/>
          <w:szCs w:val="20"/>
          <w:color w:val="auto"/>
        </w:rPr>
      </w:pPr>
      <w:r>
        <w:rPr>
          <w:rFonts w:ascii="Times New Roman" w:cs="Times New Roman" w:eastAsia="Times New Roman" w:hAnsi="Times New Roman"/>
          <w:sz w:val="18"/>
          <w:szCs w:val="18"/>
          <w:color w:val="auto"/>
        </w:rPr>
        <w:t>The Purchase Price for the Acquired Shares shall be determined on a quarterly basis to ensure economic parity with the Company’s open-market activity. The calculation shall be performed as follows:</w:t>
      </w:r>
    </w:p>
    <w:p>
      <w:pPr>
        <w:spacing w:after="0" w:line="121" w:lineRule="exact"/>
        <w:rPr>
          <w:sz w:val="20"/>
          <w:szCs w:val="20"/>
          <w:color w:val="auto"/>
        </w:rPr>
      </w:pPr>
    </w:p>
    <w:p>
      <w:pPr>
        <w:ind w:left="760" w:right="220" w:hanging="378"/>
        <w:spacing w:after="0" w:line="282" w:lineRule="auto"/>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Volume: The aggregate number of Shares purchased by the Company in the open market during the Applicable Quarter shall be categorized into two groups:</w:t>
      </w:r>
    </w:p>
    <w:p>
      <w:pPr>
        <w:spacing w:after="0" w:line="1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24"/>
          <w:szCs w:val="24"/>
          <w:color w:val="auto"/>
          <w:vertAlign w:val="subscript"/>
        </w:rPr>
        <w:t>pre</w:t>
      </w:r>
      <w:r>
        <w:rPr>
          <w:rFonts w:ascii="Times New Roman" w:cs="Times New Roman" w:eastAsia="Times New Roman" w:hAnsi="Times New Roman"/>
          <w:sz w:val="18"/>
          <w:szCs w:val="18"/>
          <w:color w:val="auto"/>
        </w:rPr>
        <w:t>: Total Shares repurchased on trading days occurring prior to the Ex-Dividend Date.</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24"/>
          <w:szCs w:val="24"/>
          <w:color w:val="auto"/>
          <w:vertAlign w:val="subscript"/>
        </w:rPr>
        <w:t>post</w:t>
      </w:r>
      <w:r>
        <w:rPr>
          <w:rFonts w:ascii="Times New Roman" w:cs="Times New Roman" w:eastAsia="Times New Roman" w:hAnsi="Times New Roman"/>
          <w:sz w:val="18"/>
          <w:szCs w:val="18"/>
          <w:color w:val="auto"/>
        </w:rPr>
        <w:t>: Total Shares repurchased on trading days occurring on or after the Ex-Dividend Date.</w:t>
      </w:r>
    </w:p>
    <w:p>
      <w:pPr>
        <w:spacing w:after="0" w:line="229"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Calculation of Weighted Prices: The Company shall determine:</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VWAP</w:t>
      </w:r>
      <w:r>
        <w:rPr>
          <w:rFonts w:ascii="Times New Roman" w:cs="Times New Roman" w:eastAsia="Times New Roman" w:hAnsi="Times New Roman"/>
          <w:sz w:val="24"/>
          <w:szCs w:val="24"/>
          <w:color w:val="auto"/>
          <w:vertAlign w:val="subscript"/>
        </w:rPr>
        <w:t>pre</w:t>
      </w:r>
      <w:r>
        <w:rPr>
          <w:rFonts w:ascii="Times New Roman" w:cs="Times New Roman" w:eastAsia="Times New Roman" w:hAnsi="Times New Roman"/>
          <w:sz w:val="18"/>
          <w:szCs w:val="18"/>
          <w:color w:val="auto"/>
        </w:rPr>
        <w:t>: The volume-weighted average price of all Shares repurchased during the Q</w:t>
      </w:r>
      <w:r>
        <w:rPr>
          <w:rFonts w:ascii="Times New Roman" w:cs="Times New Roman" w:eastAsia="Times New Roman" w:hAnsi="Times New Roman"/>
          <w:sz w:val="24"/>
          <w:szCs w:val="24"/>
          <w:color w:val="auto"/>
          <w:vertAlign w:val="subscript"/>
        </w:rPr>
        <w:t>pre</w:t>
      </w:r>
      <w:r>
        <w:rPr>
          <w:rFonts w:ascii="Times New Roman" w:cs="Times New Roman" w:eastAsia="Times New Roman" w:hAnsi="Times New Roman"/>
          <w:sz w:val="18"/>
          <w:szCs w:val="18"/>
          <w:color w:val="auto"/>
        </w:rPr>
        <w:t xml:space="preserve"> period.</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VWAP</w:t>
      </w:r>
      <w:r>
        <w:rPr>
          <w:rFonts w:ascii="Times New Roman" w:cs="Times New Roman" w:eastAsia="Times New Roman" w:hAnsi="Times New Roman"/>
          <w:sz w:val="24"/>
          <w:szCs w:val="24"/>
          <w:color w:val="auto"/>
          <w:vertAlign w:val="subscript"/>
        </w:rPr>
        <w:t>post</w:t>
      </w:r>
      <w:r>
        <w:rPr>
          <w:rFonts w:ascii="Times New Roman" w:cs="Times New Roman" w:eastAsia="Times New Roman" w:hAnsi="Times New Roman"/>
          <w:sz w:val="18"/>
          <w:szCs w:val="18"/>
          <w:color w:val="auto"/>
        </w:rPr>
        <w:t>: The volume-weighted average price of all Shares repurchased during the Q</w:t>
      </w:r>
      <w:r>
        <w:rPr>
          <w:rFonts w:ascii="Times New Roman" w:cs="Times New Roman" w:eastAsia="Times New Roman" w:hAnsi="Times New Roman"/>
          <w:sz w:val="24"/>
          <w:szCs w:val="24"/>
          <w:color w:val="auto"/>
          <w:vertAlign w:val="subscript"/>
        </w:rPr>
        <w:t>post</w:t>
      </w:r>
      <w:r>
        <w:rPr>
          <w:rFonts w:ascii="Times New Roman" w:cs="Times New Roman" w:eastAsia="Times New Roman" w:hAnsi="Times New Roman"/>
          <w:sz w:val="18"/>
          <w:szCs w:val="18"/>
          <w:color w:val="auto"/>
        </w:rPr>
        <w:t xml:space="preserve"> period.</w:t>
      </w:r>
    </w:p>
    <w:p>
      <w:pPr>
        <w:spacing w:after="0" w:line="183" w:lineRule="exact"/>
        <w:rPr>
          <w:sz w:val="20"/>
          <w:szCs w:val="20"/>
          <w:color w:val="auto"/>
        </w:rPr>
      </w:pPr>
    </w:p>
    <w:p>
      <w:pPr>
        <w:ind w:left="760" w:hanging="378"/>
        <w:spacing w:after="0" w:line="287" w:lineRule="auto"/>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Adjustment: For the Q</w:t>
      </w:r>
      <w:r>
        <w:rPr>
          <w:rFonts w:ascii="Times New Roman" w:cs="Times New Roman" w:eastAsia="Times New Roman" w:hAnsi="Times New Roman"/>
          <w:sz w:val="24"/>
          <w:szCs w:val="24"/>
          <w:color w:val="auto"/>
          <w:vertAlign w:val="subscript"/>
        </w:rPr>
        <w:t>pre</w:t>
      </w:r>
      <w:r>
        <w:rPr>
          <w:rFonts w:ascii="Times New Roman" w:cs="Times New Roman" w:eastAsia="Times New Roman" w:hAnsi="Times New Roman"/>
          <w:sz w:val="18"/>
          <w:szCs w:val="18"/>
          <w:color w:val="auto"/>
        </w:rPr>
        <w:t xml:space="preserve"> period, the price shall be adjusted by subtracting the per-share amount of the dividend (D) declared during the Applicable Quarter.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Settlement Price: The "Dividend Adjusted Average Price" to be paid to the Seller shall be calculated using the following formula:</w:t>
      </w:r>
    </w:p>
    <w:p>
      <w:pPr>
        <w:spacing w:after="0" w:line="225" w:lineRule="exact"/>
        <w:rPr>
          <w:sz w:val="20"/>
          <w:szCs w:val="20"/>
          <w:color w:val="auto"/>
        </w:rPr>
      </w:pPr>
    </w:p>
    <w:p>
      <w:pPr>
        <w:jc w:val="center"/>
        <w:ind w:right="6140"/>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2"/>
          <w:szCs w:val="12"/>
          <w:color w:val="auto"/>
        </w:rPr>
        <w:t>pre</w:t>
      </w:r>
      <w:r>
        <w:rPr>
          <w:rFonts w:ascii="Times New Roman" w:cs="Times New Roman" w:eastAsia="Times New Roman" w:hAnsi="Times New Roman"/>
          <w:sz w:val="18"/>
          <w:szCs w:val="18"/>
          <w:color w:val="auto"/>
        </w:rPr>
        <w:t xml:space="preserve"> x (VWAP</w:t>
      </w:r>
      <w:r>
        <w:rPr>
          <w:rFonts w:ascii="Times New Roman" w:cs="Times New Roman" w:eastAsia="Times New Roman" w:hAnsi="Times New Roman"/>
          <w:sz w:val="12"/>
          <w:szCs w:val="12"/>
          <w:color w:val="auto"/>
        </w:rPr>
        <w:t>pre</w:t>
      </w:r>
      <w:r>
        <w:rPr>
          <w:rFonts w:ascii="Times New Roman" w:cs="Times New Roman" w:eastAsia="Times New Roman" w:hAnsi="Times New Roman"/>
          <w:sz w:val="18"/>
          <w:szCs w:val="18"/>
          <w:color w:val="auto"/>
        </w:rPr>
        <w:t xml:space="preserve"> - D)] + (Q</w:t>
      </w:r>
      <w:r>
        <w:rPr>
          <w:rFonts w:ascii="Times New Roman" w:cs="Times New Roman" w:eastAsia="Times New Roman" w:hAnsi="Times New Roman"/>
          <w:sz w:val="12"/>
          <w:szCs w:val="12"/>
          <w:color w:val="auto"/>
        </w:rPr>
        <w:t>post</w:t>
      </w:r>
      <w:r>
        <w:rPr>
          <w:rFonts w:ascii="Times New Roman" w:cs="Times New Roman" w:eastAsia="Times New Roman" w:hAnsi="Times New Roman"/>
          <w:sz w:val="18"/>
          <w:szCs w:val="18"/>
          <w:color w:val="auto"/>
        </w:rPr>
        <w:t xml:space="preserve"> x VWAP</w:t>
      </w:r>
      <w:r>
        <w:rPr>
          <w:rFonts w:ascii="Times New Roman" w:cs="Times New Roman" w:eastAsia="Times New Roman" w:hAnsi="Times New Roman"/>
          <w:sz w:val="12"/>
          <w:szCs w:val="12"/>
          <w:color w:val="auto"/>
        </w:rPr>
        <w:t>post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23571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Q</w:t>
      </w:r>
      <w:r>
        <w:rPr>
          <w:rFonts w:ascii="Times New Roman" w:cs="Times New Roman" w:eastAsia="Times New Roman" w:hAnsi="Times New Roman"/>
          <w:sz w:val="12"/>
          <w:szCs w:val="12"/>
          <w:color w:val="auto"/>
        </w:rPr>
        <w:t>pre</w:t>
      </w:r>
      <w:r>
        <w:rPr>
          <w:rFonts w:ascii="Times New Roman" w:cs="Times New Roman" w:eastAsia="Times New Roman" w:hAnsi="Times New Roman"/>
          <w:sz w:val="18"/>
          <w:szCs w:val="18"/>
          <w:color w:val="auto"/>
        </w:rPr>
        <w:t xml:space="preserve"> + Q</w:t>
      </w:r>
      <w:r>
        <w:rPr>
          <w:rFonts w:ascii="Times New Roman" w:cs="Times New Roman" w:eastAsia="Times New Roman" w:hAnsi="Times New Roman"/>
          <w:sz w:val="12"/>
          <w:szCs w:val="12"/>
          <w:color w:val="auto"/>
        </w:rPr>
        <w:t>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List of Significant Subsidiaries as of December 31, 2025</w:t>
            </w:r>
          </w:p>
        </w:tc>
      </w:tr>
      <w:tr>
        <w:trPr>
          <w:trHeight w:val="432"/>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Company</w:t>
            </w:r>
          </w:p>
        </w:tc>
        <w:tc>
          <w:tcPr>
            <w:tcW w:w="7760" w:type="dxa"/>
            <w:vAlign w:val="bottom"/>
            <w:tcBorders>
              <w:bottom w:val="single" w:sz="8" w:color="auto"/>
            </w:tcBorders>
          </w:tcPr>
          <w:p>
            <w:pPr>
              <w:ind w:left="398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209"/>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Blueboard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Kunhoo Software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Brasil Software Ltda.</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Holding AS</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Hosting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Hosting Iceland ehf.</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Iceland</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Norway AS</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Software Americas LLC</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USA</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Software International AS</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Software Ireland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Software Netherlands B.V.</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Software Poland Sp. z o.o.</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Software Spain S.L.U.</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Software Technology (Beijing) Co.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Sweden AB</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Technologies Poland Sp. z o.o.</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 Technology Singapore Pte.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 Unite Pte.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Opesa South Africa (Pty)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O'Play Digital Services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Nigeria</w:t>
            </w:r>
          </w:p>
        </w:tc>
      </w:tr>
      <w:tr>
        <w:trPr>
          <w:trHeight w:val="216"/>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O-Play Kenya Ltd.</w:t>
            </w:r>
          </w:p>
        </w:tc>
        <w:tc>
          <w:tcPr>
            <w:tcW w:w="7760" w:type="dxa"/>
            <w:vAlign w:val="bottom"/>
            <w:shd w:val="clear" w:color="auto" w:fill="CFF0FC"/>
          </w:tcPr>
          <w:p>
            <w:pPr>
              <w:ind w:left="3980"/>
              <w:spacing w:after="0"/>
              <w:rPr>
                <w:sz w:val="20"/>
                <w:szCs w:val="20"/>
                <w:color w:val="auto"/>
              </w:rPr>
            </w:pPr>
            <w:r>
              <w:rPr>
                <w:rFonts w:ascii="Times New Roman" w:cs="Times New Roman" w:eastAsia="Times New Roman" w:hAnsi="Times New Roman"/>
                <w:sz w:val="18"/>
                <w:szCs w:val="18"/>
                <w:color w:val="auto"/>
              </w:rPr>
              <w:t>Kenya</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YoYo Games Ltd.</w:t>
            </w:r>
          </w:p>
        </w:tc>
        <w:tc>
          <w:tcPr>
            <w:tcW w:w="77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839"/>
        </w:trPr>
        <w:tc>
          <w:tcPr>
            <w:tcW w:w="34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 Song, certify that:</w:t>
      </w:r>
    </w:p>
    <w:p>
      <w:pPr>
        <w:spacing w:after="0" w:line="185" w:lineRule="exact"/>
        <w:rPr>
          <w:sz w:val="20"/>
          <w:szCs w:val="20"/>
          <w:color w:val="auto"/>
        </w:rPr>
      </w:pPr>
    </w:p>
    <w:p>
      <w:pPr>
        <w:ind w:left="380" w:hanging="372"/>
        <w:spacing w:after="0"/>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for the year ended December 31, 2025 of Opera Limited (the “Company”);</w:t>
      </w:r>
    </w:p>
    <w:p>
      <w:pPr>
        <w:spacing w:after="0" w:line="198"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8"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760" w:hanging="378"/>
        <w:spacing w:after="0" w:line="312" w:lineRule="auto"/>
        <w:tabs>
          <w:tab w:leader="none" w:pos="76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9" w:lineRule="exact"/>
        <w:rPr>
          <w:rFonts w:ascii="Times New Roman" w:cs="Times New Roman" w:eastAsia="Times New Roman" w:hAnsi="Times New Roman"/>
          <w:sz w:val="17"/>
          <w:szCs w:val="17"/>
          <w:color w:val="auto"/>
        </w:rPr>
      </w:pPr>
    </w:p>
    <w:p>
      <w:pPr>
        <w:ind w:left="380" w:right="240" w:hanging="372"/>
        <w:spacing w:after="0" w:line="282" w:lineRule="auto"/>
        <w:tabs>
          <w:tab w:leader="none" w:pos="3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c>
          <w:tcPr>
            <w:tcW w:w="6740" w:type="dxa"/>
            <w:vAlign w:val="bottom"/>
          </w:tcPr>
          <w:p>
            <w:pPr>
              <w:spacing w:after="0"/>
              <w:rPr>
                <w:sz w:val="16"/>
                <w:szCs w:val="16"/>
                <w:color w:val="auto"/>
              </w:rPr>
            </w:pPr>
          </w:p>
        </w:tc>
      </w:t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6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Frode Jacobsen, certify that:</w:t>
      </w:r>
    </w:p>
    <w:p>
      <w:pPr>
        <w:spacing w:after="0" w:line="185" w:lineRule="exact"/>
        <w:rPr>
          <w:sz w:val="20"/>
          <w:szCs w:val="20"/>
          <w:color w:val="auto"/>
        </w:rPr>
      </w:pPr>
    </w:p>
    <w:p>
      <w:pPr>
        <w:ind w:left="380" w:hanging="372"/>
        <w:spacing w:after="0"/>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for the year ended December 31, 2025 of Opera Limited (the “Company”);</w:t>
      </w:r>
    </w:p>
    <w:p>
      <w:pPr>
        <w:spacing w:after="0" w:line="198"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80" w:right="380" w:hanging="372"/>
        <w:spacing w:after="0" w:line="266"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48"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760" w:hanging="378"/>
        <w:spacing w:after="0" w:line="312" w:lineRule="auto"/>
        <w:tabs>
          <w:tab w:leader="none" w:pos="76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99" w:lineRule="exact"/>
        <w:rPr>
          <w:rFonts w:ascii="Times New Roman" w:cs="Times New Roman" w:eastAsia="Times New Roman" w:hAnsi="Times New Roman"/>
          <w:sz w:val="17"/>
          <w:szCs w:val="17"/>
          <w:color w:val="auto"/>
        </w:rPr>
      </w:pPr>
    </w:p>
    <w:p>
      <w:pPr>
        <w:ind w:left="380" w:right="240" w:hanging="372"/>
        <w:spacing w:after="0" w:line="282" w:lineRule="auto"/>
        <w:tabs>
          <w:tab w:leader="none" w:pos="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Frode Jacobsen</w:t>
            </w:r>
          </w:p>
        </w:tc>
      </w:tr>
      <w:tr>
        <w:trPr>
          <w:trHeight w:val="191"/>
        </w:trPr>
        <w:tc>
          <w:tcPr>
            <w:tcW w:w="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Frode Jacobsen</w:t>
            </w:r>
          </w:p>
        </w:tc>
        <w:tc>
          <w:tcPr>
            <w:tcW w:w="6740" w:type="dxa"/>
            <w:vAlign w:val="bottom"/>
          </w:tcPr>
          <w:p>
            <w:pPr>
              <w:spacing w:after="0"/>
              <w:rPr>
                <w:sz w:val="16"/>
                <w:szCs w:val="16"/>
                <w:color w:val="auto"/>
              </w:rPr>
            </w:pPr>
          </w:p>
        </w:tc>
      </w:t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44"/>
        </w:trPr>
        <w:tc>
          <w:tcPr>
            <w:tcW w:w="6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6" w:lineRule="exact"/>
        <w:rPr>
          <w:sz w:val="20"/>
          <w:szCs w:val="20"/>
          <w:color w:val="auto"/>
        </w:rPr>
      </w:pPr>
    </w:p>
    <w:p>
      <w:pPr>
        <w:ind w:right="48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Opera Limited (the “Company”) on Form 20-F for the year ended December 31, 2025 as filed with the Securities and Exchange Commission on the date hereof (the “Report”), I, Lin Song,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right="40" w:firstLine="382"/>
        <w:spacing w:after="0" w:line="477" w:lineRule="auto"/>
        <w:tabs>
          <w:tab w:leader="none" w:pos="74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27,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Lin Song</w:t>
            </w:r>
          </w:p>
        </w:tc>
      </w:tr>
      <w:tr>
        <w:trPr>
          <w:trHeight w:val="191"/>
        </w:trPr>
        <w:tc>
          <w:tcPr>
            <w:tcW w:w="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 Song</w:t>
            </w:r>
          </w:p>
        </w:tc>
        <w:tc>
          <w:tcPr>
            <w:tcW w:w="6740" w:type="dxa"/>
            <w:vAlign w:val="bottom"/>
          </w:tcPr>
          <w:p>
            <w:pPr>
              <w:spacing w:after="0"/>
              <w:rPr>
                <w:sz w:val="16"/>
                <w:szCs w:val="16"/>
                <w:color w:val="auto"/>
              </w:rPr>
            </w:pPr>
          </w:p>
        </w:tc>
      </w:t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44"/>
        </w:trPr>
        <w:tc>
          <w:tcPr>
            <w:tcW w:w="6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66" w:lineRule="exact"/>
        <w:rPr>
          <w:sz w:val="20"/>
          <w:szCs w:val="20"/>
          <w:color w:val="auto"/>
        </w:rPr>
      </w:pPr>
    </w:p>
    <w:p>
      <w:pPr>
        <w:ind w:right="8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Opera Limited (the “Company”) on Form 20-F for the year ended December 31, 2025 as filed with the Securities and Exchange Commission on the date hereof (the “Report”), I, Frode Jacobsen,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760" w:hanging="378"/>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right="40" w:firstLine="382"/>
        <w:spacing w:after="0" w:line="477" w:lineRule="auto"/>
        <w:tabs>
          <w:tab w:leader="none" w:pos="74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27,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Frode Jacobsen</w:t>
            </w:r>
          </w:p>
        </w:tc>
      </w:tr>
      <w:tr>
        <w:trPr>
          <w:trHeight w:val="191"/>
        </w:trPr>
        <w:tc>
          <w:tcPr>
            <w:tcW w:w="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Frode Jacobsen</w:t>
            </w:r>
          </w:p>
        </w:tc>
        <w:tc>
          <w:tcPr>
            <w:tcW w:w="6740" w:type="dxa"/>
            <w:vAlign w:val="bottom"/>
          </w:tcPr>
          <w:p>
            <w:pPr>
              <w:spacing w:after="0"/>
              <w:rPr>
                <w:sz w:val="16"/>
                <w:szCs w:val="16"/>
                <w:color w:val="auto"/>
              </w:rPr>
            </w:pPr>
          </w:p>
        </w:tc>
      </w:tr>
      <w:tr>
        <w:trPr>
          <w:trHeight w:val="234"/>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10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44"/>
        </w:trPr>
        <w:tc>
          <w:tcPr>
            <w:tcW w:w="6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(No. 333-229285 and No. 333-292626) and on Form F-3 (No. 333-273242) of our reports dated March 27, 2026, with respect to the consolidated financial statements of Opera Limited and the effectiveness of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Oslo, Norway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17" w:name="page118"/>
    <w:bookmarkEnd w:id="1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1."/>
      <w:numFmt w:val="upperLetter"/>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upperLetter"/>
      <w:start w:val="1"/>
    </w:lvl>
  </w:abstractNum>
  <w:abstractNum w:abstractNumId="14">
    <w:nsid w:val="39386575"/>
    <w:multiLevelType w:val="hybridMultilevel"/>
    <w:lvl w:ilvl="0">
      <w:lvlJc w:val="left"/>
      <w:lvlText w:val="%1."/>
      <w:numFmt w:val="upperLetter"/>
      <w:start w:val="2"/>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1."/>
      <w:numFmt w:val="upperLetter"/>
      <w:start w:val="3"/>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upperLetter"/>
      <w:start w:val="4"/>
    </w:lvl>
  </w:abstractNum>
  <w:abstractNum w:abstractNumId="19">
    <w:nsid w:val="354FE9F9"/>
    <w:multiLevelType w:val="hybridMultilevel"/>
    <w:lvl w:ilvl="0">
      <w:lvlJc w:val="left"/>
      <w:lvlText w:val="%1."/>
      <w:numFmt w:val="upperLetter"/>
      <w:start w:val="1"/>
    </w:lvl>
  </w:abstractNum>
  <w:abstractNum w:abstractNumId="20">
    <w:nsid w:val="15B5AF5C"/>
    <w:multiLevelType w:val="hybridMultilevel"/>
    <w:lvl w:ilvl="0">
      <w:lvlJc w:val="left"/>
      <w:lvlText w:val="(%1)"/>
      <w:numFmt w:val="decimal"/>
      <w:start w:val="1"/>
    </w:lvl>
    <w:lvl w:ilvl="1">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1)"/>
      <w:numFmt w:val="decimal"/>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lowerRoman"/>
      <w:start w:val="7"/>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upperLetter"/>
      <w:start w:val="2"/>
    </w:lvl>
    <w:lvl w:ilvl="1">
      <w:lvlJc w:val="left"/>
      <w:lvlText w:val="•"/>
      <w:numFmt w:val="bullet"/>
      <w:start w:val="1"/>
    </w:lvl>
  </w:abstractNum>
  <w:abstractNum w:abstractNumId="28">
    <w:nsid w:val="579BE4F1"/>
    <w:multiLevelType w:val="hybridMultilevel"/>
    <w:lvl w:ilvl="0">
      <w:lvlJc w:val="left"/>
      <w:lvlText w:val="%1."/>
      <w:numFmt w:val="upperLetter"/>
      <w:start w:val="4"/>
    </w:lvl>
  </w:abstractNum>
  <w:abstractNum w:abstractNumId="29">
    <w:nsid w:val="310C50B3"/>
    <w:multiLevelType w:val="hybridMultilevel"/>
    <w:lvl w:ilvl="0">
      <w:lvlJc w:val="left"/>
      <w:lvlText w:val="%1."/>
      <w:numFmt w:val="upperLetter"/>
      <w:start w:val="5"/>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1."/>
      <w:numFmt w:val="upperLetter"/>
      <w:start w:val="1"/>
    </w:lvl>
  </w:abstractNum>
  <w:abstractNum w:abstractNumId="32">
    <w:nsid w:val="25A70BF7"/>
    <w:multiLevelType w:val="hybridMultilevel"/>
    <w:lvl w:ilvl="0">
      <w:lvlJc w:val="left"/>
      <w:lvlText w:val="%1."/>
      <w:numFmt w:val="upperLetter"/>
      <w:start w:val="2"/>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upperLetter"/>
      <w:start w:val="3"/>
    </w:lvl>
  </w:abstractNum>
  <w:abstractNum w:abstractNumId="36">
    <w:nsid w:val="1381823A"/>
    <w:multiLevelType w:val="hybridMultilevel"/>
    <w:lvl w:ilvl="0">
      <w:lvlJc w:val="left"/>
      <w:lvlText w:val="(%1)"/>
      <w:numFmt w:val="decimal"/>
      <w:start w:val="2"/>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1."/>
      <w:numFmt w:val="upperLetter"/>
      <w:start w:val="4"/>
    </w:lvl>
  </w:abstractNum>
  <w:abstractNum w:abstractNumId="39">
    <w:nsid w:val="6590700B"/>
    <w:multiLevelType w:val="hybridMultilevel"/>
    <w:lvl w:ilvl="0">
      <w:lvlJc w:val="left"/>
      <w:lvlText w:val="%1."/>
      <w:numFmt w:val="upperLetter"/>
      <w:start w:val="5"/>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1."/>
      <w:numFmt w:val="upperLetter"/>
      <w:start w:val="6"/>
    </w:lvl>
  </w:abstractNum>
  <w:abstractNum w:abstractNumId="42">
    <w:nsid w:val="98A3148"/>
    <w:multiLevelType w:val="hybridMultilevel"/>
    <w:lvl w:ilvl="0">
      <w:lvlJc w:val="left"/>
      <w:lvlText w:val="%1."/>
      <w:numFmt w:val="upperLetter"/>
      <w:start w:val="1"/>
    </w:lvl>
  </w:abstractNum>
  <w:abstractNum w:abstractNumId="43">
    <w:nsid w:val="799D0247"/>
    <w:multiLevelType w:val="hybridMultilevel"/>
    <w:lvl w:ilvl="0">
      <w:lvlJc w:val="left"/>
      <w:lvlText w:val="%1."/>
      <w:numFmt w:val="upperLetter"/>
      <w:start w:val="3"/>
    </w:lvl>
  </w:abstractNum>
  <w:abstractNum w:abstractNumId="44">
    <w:nsid w:val="6B94764"/>
    <w:multiLevelType w:val="hybridMultilevel"/>
    <w:lvl w:ilvl="0">
      <w:lvlJc w:val="left"/>
      <w:lvlText w:val="%1."/>
      <w:numFmt w:val="upperLetter"/>
      <w:start w:val="1"/>
    </w:lvl>
  </w:abstractNum>
  <w:abstractNum w:abstractNumId="45">
    <w:nsid w:val="42C296BD"/>
    <w:multiLevelType w:val="hybridMultilevel"/>
    <w:lvl w:ilvl="0">
      <w:lvlJc w:val="left"/>
      <w:lvlText w:val="%1."/>
      <w:numFmt w:val="upperLetter"/>
      <w:start w:val="2"/>
    </w:lvl>
  </w:abstractNum>
  <w:abstractNum w:abstractNumId="46">
    <w:nsid w:val="168E121F"/>
    <w:multiLevelType w:val="hybridMultilevel"/>
    <w:lvl w:ilvl="0">
      <w:lvlJc w:val="left"/>
      <w:lvlText w:val="%1."/>
      <w:numFmt w:val="upperLetter"/>
      <w:start w:val="1"/>
    </w:lvl>
  </w:abstractNum>
  <w:abstractNum w:abstractNumId="47">
    <w:nsid w:val="1EBA5D23"/>
    <w:multiLevelType w:val="hybridMultilevel"/>
    <w:lvl w:ilvl="0">
      <w:lvlJc w:val="left"/>
      <w:lvlText w:val="%1."/>
      <w:numFmt w:val="upperLetter"/>
      <w:start w:val="3"/>
    </w:lvl>
  </w:abstractNum>
  <w:abstractNum w:abstractNumId="48">
    <w:nsid w:val="661E3F1E"/>
    <w:multiLevelType w:val="hybridMultilevel"/>
    <w:lvl w:ilvl="0">
      <w:lvlJc w:val="left"/>
      <w:lvlText w:val="%1."/>
      <w:numFmt w:val="upperLetter"/>
      <w:start w:val="4"/>
    </w:lvl>
  </w:abstractNum>
  <w:abstractNum w:abstractNumId="49">
    <w:nsid w:val="5DC79EA8"/>
    <w:multiLevelType w:val="hybridMultilevel"/>
    <w:lvl w:ilvl="0">
      <w:lvlJc w:val="left"/>
      <w:lvlText w:val="%1."/>
      <w:numFmt w:val="upperLetter"/>
      <w:start w:val="1"/>
    </w:lvl>
  </w:abstractNum>
  <w:abstractNum w:abstractNumId="50">
    <w:nsid w:val="540A471C"/>
    <w:multiLevelType w:val="hybridMultilevel"/>
    <w:lvl w:ilvl="0">
      <w:lvlJc w:val="left"/>
      <w:lvlText w:val="%1."/>
      <w:numFmt w:val="upperLetter"/>
      <w:start w:val="3"/>
    </w:lvl>
  </w:abstractNum>
  <w:abstractNum w:abstractNumId="51">
    <w:nsid w:val="7BD3EE7B"/>
    <w:multiLevelType w:val="hybridMultilevel"/>
    <w:lvl w:ilvl="0">
      <w:lvlJc w:val="left"/>
      <w:lvlText w:val="%1."/>
      <w:numFmt w:val="upperLetter"/>
      <w:start w:val="4"/>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upperLetter"/>
      <w:start w:val="6"/>
    </w:lvl>
  </w:abstractNum>
  <w:abstractNum w:abstractNumId="58">
    <w:nsid w:val="8F2B15E"/>
    <w:multiLevelType w:val="hybridMultilevel"/>
    <w:lvl w:ilvl="0">
      <w:lvlJc w:val="left"/>
      <w:lvlText w:val="%1."/>
      <w:numFmt w:val="upperLetter"/>
      <w:start w:val="9"/>
    </w:lvl>
  </w:abstractNum>
  <w:abstractNum w:abstractNumId="59">
    <w:nsid w:val="1A32234B"/>
    <w:multiLevelType w:val="hybridMultilevel"/>
    <w:lvl w:ilvl="0">
      <w:lvlJc w:val="left"/>
      <w:lvlText w:val="%1."/>
      <w:numFmt w:val="upperLetter"/>
      <w:start w:val="1"/>
    </w:lvl>
  </w:abstractNum>
  <w:abstractNum w:abstractNumId="60">
    <w:nsid w:val="3B0FD379"/>
    <w:multiLevelType w:val="hybridMultilevel"/>
    <w:lvl w:ilvl="0">
      <w:lvlJc w:val="left"/>
      <w:lvlText w:val="%1."/>
      <w:numFmt w:val="upperLetter"/>
      <w:start w:val="3"/>
    </w:lvl>
  </w:abstractNum>
  <w:abstractNum w:abstractNumId="61">
    <w:nsid w:val="68EB2F63"/>
    <w:multiLevelType w:val="hybridMultilevel"/>
    <w:lvl w:ilvl="0">
      <w:lvlJc w:val="left"/>
      <w:lvlText w:val="%1."/>
      <w:numFmt w:val="upperLetter"/>
      <w:start w:val="1"/>
    </w:lvl>
  </w:abstractNum>
  <w:abstractNum w:abstractNumId="62">
    <w:nsid w:val="4962813B"/>
    <w:multiLevelType w:val="hybridMultilevel"/>
    <w:lvl w:ilvl="0">
      <w:lvlJc w:val="left"/>
      <w:lvlText w:val="%1."/>
      <w:numFmt w:val="upperLetter"/>
      <w:start w:val="2"/>
    </w:lvl>
  </w:abstractNum>
  <w:abstractNum w:abstractNumId="63">
    <w:nsid w:val="60B6DF70"/>
    <w:multiLevelType w:val="hybridMultilevel"/>
    <w:lvl w:ilvl="0">
      <w:lvlJc w:val="left"/>
      <w:lvlText w:val="%1."/>
      <w:numFmt w:val="upperLetter"/>
      <w:start w:val="3"/>
    </w:lvl>
  </w:abstractNum>
  <w:abstractNum w:abstractNumId="64">
    <w:nsid w:val="6A5EE64"/>
    <w:multiLevelType w:val="hybridMultilevel"/>
    <w:lvl w:ilvl="0">
      <w:lvlJc w:val="left"/>
      <w:lvlText w:val="%1."/>
      <w:numFmt w:val="upperLetter"/>
      <w:start w:val="4"/>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1"/>
      <w:numFmt w:val="decimal"/>
      <w:start w:val="104"/>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1)"/>
      <w:numFmt w:val="decimal"/>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1)"/>
      <w:numFmt w:val="decimal"/>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1"/>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1)"/>
      <w:numFmt w:val="decimal"/>
      <w:start w:val="1"/>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lowerLetter"/>
      <w:start w:val="2"/>
    </w:lvl>
  </w:abstractNum>
  <w:abstractNum w:abstractNumId="88">
    <w:nsid w:val="43F18422"/>
    <w:multiLevelType w:val="hybridMultilevel"/>
    <w:lvl w:ilvl="0">
      <w:lvlJc w:val="left"/>
      <w:lvlText w:val="(%1)"/>
      <w:numFmt w:val="lowerRoman"/>
      <w:start w:val="2"/>
    </w:lvl>
  </w:abstractNum>
  <w:abstractNum w:abstractNumId="89">
    <w:nsid w:val="60EF0119"/>
    <w:multiLevelType w:val="hybridMultilevel"/>
    <w:lvl w:ilvl="0">
      <w:lvlJc w:val="left"/>
      <w:lvlText w:val="(%1)"/>
      <w:numFmt w:val="lowerLetter"/>
      <w:start w:val="1"/>
    </w:lvl>
  </w:abstractNum>
  <w:abstractNum w:abstractNumId="90">
    <w:nsid w:val="26F324BA"/>
    <w:multiLevelType w:val="hybridMultilevel"/>
    <w:lvl w:ilvl="0">
      <w:lvlJc w:val="left"/>
      <w:lvlText w:val="(%1)"/>
      <w:numFmt w:val="lowerLetter"/>
      <w:start w:val="1"/>
    </w:lvl>
  </w:abstractNum>
  <w:abstractNum w:abstractNumId="91">
    <w:nsid w:val="7F01579B"/>
    <w:multiLevelType w:val="hybridMultilevel"/>
    <w:lvl w:ilvl="0">
      <w:lvlJc w:val="left"/>
      <w:lvlText w:val="(%1)"/>
      <w:numFmt w:val="lowerLetter"/>
      <w:start w:val="2"/>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lowerLetter"/>
      <w:start w:val="3"/>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jpe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png"/><Relationship Id="rId521" Type="http://schemas.openxmlformats.org/officeDocument/2006/relationships/image" Target="media/image501.png"/><Relationship Id="rId522"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5" Type="http://schemas.openxmlformats.org/officeDocument/2006/relationships/image" Target="media/image505.png"/><Relationship Id="rId526" Type="http://schemas.openxmlformats.org/officeDocument/2006/relationships/image" Target="media/image506.png"/><Relationship Id="rId527" Type="http://schemas.openxmlformats.org/officeDocument/2006/relationships/image" Target="media/image507.png"/><Relationship Id="rId528" Type="http://schemas.openxmlformats.org/officeDocument/2006/relationships/image" Target="media/image508.png"/><Relationship Id="rId529" Type="http://schemas.openxmlformats.org/officeDocument/2006/relationships/image" Target="media/image509.png"/><Relationship Id="rId530" Type="http://schemas.openxmlformats.org/officeDocument/2006/relationships/image" Target="media/image510.png"/><Relationship Id="rId531" Type="http://schemas.openxmlformats.org/officeDocument/2006/relationships/image" Target="media/image511.png"/><Relationship Id="rId532" Type="http://schemas.openxmlformats.org/officeDocument/2006/relationships/image" Target="media/image512.png"/><Relationship Id="rId533" Type="http://schemas.openxmlformats.org/officeDocument/2006/relationships/image" Target="media/image513.png"/><Relationship Id="rId534" Type="http://schemas.openxmlformats.org/officeDocument/2006/relationships/image" Target="media/image514.png"/><Relationship Id="rId535" Type="http://schemas.openxmlformats.org/officeDocument/2006/relationships/image" Target="media/image515.png"/><Relationship Id="rId536" Type="http://schemas.openxmlformats.org/officeDocument/2006/relationships/image" Target="media/image516.png"/><Relationship Id="rId537" Type="http://schemas.openxmlformats.org/officeDocument/2006/relationships/image" Target="media/image517.png"/><Relationship Id="rId538"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41" Type="http://schemas.openxmlformats.org/officeDocument/2006/relationships/image" Target="media/image521.png"/><Relationship Id="rId542" Type="http://schemas.openxmlformats.org/officeDocument/2006/relationships/image" Target="media/image522.png"/><Relationship Id="rId543" Type="http://schemas.openxmlformats.org/officeDocument/2006/relationships/image" Target="media/image523.png"/><Relationship Id="rId544" Type="http://schemas.openxmlformats.org/officeDocument/2006/relationships/image" Target="media/image524.png"/><Relationship Id="rId545" Type="http://schemas.openxmlformats.org/officeDocument/2006/relationships/image" Target="media/image525.png"/><Relationship Id="rId546" Type="http://schemas.openxmlformats.org/officeDocument/2006/relationships/image" Target="media/image526.png"/><Relationship Id="rId547" Type="http://schemas.openxmlformats.org/officeDocument/2006/relationships/image" Target="media/image527.png"/><Relationship Id="rId548" Type="http://schemas.openxmlformats.org/officeDocument/2006/relationships/image" Target="media/image528.png"/><Relationship Id="rId549" Type="http://schemas.openxmlformats.org/officeDocument/2006/relationships/image" Target="media/image529.png"/><Relationship Id="rId550" Type="http://schemas.openxmlformats.org/officeDocument/2006/relationships/image" Target="media/image530.png"/><Relationship Id="rId551" Type="http://schemas.openxmlformats.org/officeDocument/2006/relationships/image" Target="media/image531.png"/><Relationship Id="rId552" Type="http://schemas.openxmlformats.org/officeDocument/2006/relationships/image" Target="media/image532.png"/><Relationship Id="rId553" Type="http://schemas.openxmlformats.org/officeDocument/2006/relationships/image" Target="media/image533.png"/><Relationship Id="rId554" Type="http://schemas.openxmlformats.org/officeDocument/2006/relationships/image" Target="media/image534.png"/><Relationship Id="rId555" Type="http://schemas.openxmlformats.org/officeDocument/2006/relationships/image" Target="media/image535.png"/><Relationship Id="rId556" Type="http://schemas.openxmlformats.org/officeDocument/2006/relationships/image" Target="media/image536.png"/><Relationship Id="rId557" Type="http://schemas.openxmlformats.org/officeDocument/2006/relationships/image" Target="media/image537.png"/><Relationship Id="rId558" Type="http://schemas.openxmlformats.org/officeDocument/2006/relationships/image" Target="media/image538.png"/><Relationship Id="rId559" Type="http://schemas.openxmlformats.org/officeDocument/2006/relationships/image" Target="media/image539.png"/><Relationship Id="rId560" Type="http://schemas.openxmlformats.org/officeDocument/2006/relationships/image" Target="media/image540.png"/><Relationship Id="rId561" Type="http://schemas.openxmlformats.org/officeDocument/2006/relationships/image" Target="media/image541.png"/><Relationship Id="rId562" Type="http://schemas.openxmlformats.org/officeDocument/2006/relationships/image" Target="media/image542.png"/><Relationship Id="rId563" Type="http://schemas.openxmlformats.org/officeDocument/2006/relationships/image" Target="media/image543.png"/><Relationship Id="rId564" Type="http://schemas.openxmlformats.org/officeDocument/2006/relationships/image" Target="media/image544.png"/><Relationship Id="rId565" Type="http://schemas.openxmlformats.org/officeDocument/2006/relationships/image" Target="media/image545.png"/><Relationship Id="rId566" Type="http://schemas.openxmlformats.org/officeDocument/2006/relationships/image" Target="media/image546.png"/><Relationship Id="rId567" Type="http://schemas.openxmlformats.org/officeDocument/2006/relationships/image" Target="media/image547.png"/><Relationship Id="rId568" Type="http://schemas.openxmlformats.org/officeDocument/2006/relationships/image" Target="media/image548.png"/><Relationship Id="rId569" Type="http://schemas.openxmlformats.org/officeDocument/2006/relationships/image" Target="media/image549.png"/><Relationship Id="rId570" Type="http://schemas.openxmlformats.org/officeDocument/2006/relationships/image" Target="media/image550.png"/><Relationship Id="rId571" Type="http://schemas.openxmlformats.org/officeDocument/2006/relationships/image" Target="media/image551.png"/><Relationship Id="rId572" Type="http://schemas.openxmlformats.org/officeDocument/2006/relationships/image" Target="media/image552.png"/><Relationship Id="rId573" Type="http://schemas.openxmlformats.org/officeDocument/2006/relationships/image" Target="media/image553.png"/><Relationship Id="rId574" Type="http://schemas.openxmlformats.org/officeDocument/2006/relationships/image" Target="media/image554.png"/><Relationship Id="rId575" Type="http://schemas.openxmlformats.org/officeDocument/2006/relationships/image" Target="media/image555.png"/><Relationship Id="rId576" Type="http://schemas.openxmlformats.org/officeDocument/2006/relationships/image" Target="media/image556.png"/><Relationship Id="rId577" Type="http://schemas.openxmlformats.org/officeDocument/2006/relationships/image" Target="media/image557.png"/><Relationship Id="rId578" Type="http://schemas.openxmlformats.org/officeDocument/2006/relationships/image" Target="media/image558.png"/><Relationship Id="rId579" Type="http://schemas.openxmlformats.org/officeDocument/2006/relationships/image" Target="media/image559.png"/><Relationship Id="rId580" Type="http://schemas.openxmlformats.org/officeDocument/2006/relationships/image" Target="media/image560.png"/><Relationship Id="rId581" Type="http://schemas.openxmlformats.org/officeDocument/2006/relationships/image" Target="media/image561.png"/><Relationship Id="rId582" Type="http://schemas.openxmlformats.org/officeDocument/2006/relationships/image" Target="media/image562.png"/><Relationship Id="rId583" Type="http://schemas.openxmlformats.org/officeDocument/2006/relationships/image" Target="media/image563.png"/><Relationship Id="rId584" Type="http://schemas.openxmlformats.org/officeDocument/2006/relationships/image" Target="media/image564.png"/><Relationship Id="rId585" Type="http://schemas.openxmlformats.org/officeDocument/2006/relationships/image" Target="media/image565.png"/><Relationship Id="rId586" Type="http://schemas.openxmlformats.org/officeDocument/2006/relationships/image" Target="media/image566.png"/><Relationship Id="rId587" Type="http://schemas.openxmlformats.org/officeDocument/2006/relationships/image" Target="media/image567.png"/><Relationship Id="rId588" Type="http://schemas.openxmlformats.org/officeDocument/2006/relationships/image" Target="media/image568.png"/><Relationship Id="rId589" Type="http://schemas.openxmlformats.org/officeDocument/2006/relationships/image" Target="media/image569.png"/><Relationship Id="rId590" Type="http://schemas.openxmlformats.org/officeDocument/2006/relationships/image" Target="media/image570.png"/><Relationship Id="rId591" Type="http://schemas.openxmlformats.org/officeDocument/2006/relationships/image" Target="media/image571.png"/><Relationship Id="rId592" Type="http://schemas.openxmlformats.org/officeDocument/2006/relationships/image" Target="media/image572.png"/><Relationship Id="rId593" Type="http://schemas.openxmlformats.org/officeDocument/2006/relationships/image" Target="media/image573.png"/><Relationship Id="rId594" Type="http://schemas.openxmlformats.org/officeDocument/2006/relationships/image" Target="media/image574.png"/><Relationship Id="rId595" Type="http://schemas.openxmlformats.org/officeDocument/2006/relationships/image" Target="media/image575.png"/><Relationship Id="rId596" Type="http://schemas.openxmlformats.org/officeDocument/2006/relationships/image" Target="media/image576.png"/><Relationship Id="rId597" Type="http://schemas.openxmlformats.org/officeDocument/2006/relationships/image" Target="media/image577.png"/><Relationship Id="rId598" Type="http://schemas.openxmlformats.org/officeDocument/2006/relationships/image" Target="media/image578.png"/><Relationship Id="rId599" Type="http://schemas.openxmlformats.org/officeDocument/2006/relationships/image" Target="media/image579.png"/><Relationship Id="rId600" Type="http://schemas.openxmlformats.org/officeDocument/2006/relationships/image" Target="media/image580.png"/><Relationship Id="rId601" Type="http://schemas.openxmlformats.org/officeDocument/2006/relationships/image" Target="media/image581.png"/><Relationship Id="rId602" Type="http://schemas.openxmlformats.org/officeDocument/2006/relationships/image" Target="media/image582.png"/><Relationship Id="rId603" Type="http://schemas.openxmlformats.org/officeDocument/2006/relationships/image" Target="media/image583.png"/><Relationship Id="rId604" Type="http://schemas.openxmlformats.org/officeDocument/2006/relationships/image" Target="media/image584.png"/><Relationship Id="rId605" Type="http://schemas.openxmlformats.org/officeDocument/2006/relationships/image" Target="media/image585.png"/><Relationship Id="rId606" Type="http://schemas.openxmlformats.org/officeDocument/2006/relationships/image" Target="media/image586.png"/><Relationship Id="rId607" Type="http://schemas.openxmlformats.org/officeDocument/2006/relationships/image" Target="media/image587.png"/><Relationship Id="rId608" Type="http://schemas.openxmlformats.org/officeDocument/2006/relationships/image" Target="media/image588.png"/><Relationship Id="rId609" Type="http://schemas.openxmlformats.org/officeDocument/2006/relationships/image" Target="media/image589.png"/><Relationship Id="rId610" Type="http://schemas.openxmlformats.org/officeDocument/2006/relationships/image" Target="media/image590.png"/><Relationship Id="rId611" Type="http://schemas.openxmlformats.org/officeDocument/2006/relationships/image" Target="media/image591.png"/><Relationship Id="rId612" Type="http://schemas.openxmlformats.org/officeDocument/2006/relationships/image" Target="media/image592.png"/><Relationship Id="rId613" Type="http://schemas.openxmlformats.org/officeDocument/2006/relationships/image" Target="media/image593.png"/><Relationship Id="rId614" Type="http://schemas.openxmlformats.org/officeDocument/2006/relationships/image" Target="media/image594.png"/><Relationship Id="rId615" Type="http://schemas.openxmlformats.org/officeDocument/2006/relationships/image" Target="media/image595.png"/><Relationship Id="rId616" Type="http://schemas.openxmlformats.org/officeDocument/2006/relationships/image" Target="media/image596.png"/><Relationship Id="rId617" Type="http://schemas.openxmlformats.org/officeDocument/2006/relationships/image" Target="media/image597.png"/><Relationship Id="rId618" Type="http://schemas.openxmlformats.org/officeDocument/2006/relationships/image" Target="media/image598.png"/><Relationship Id="rId619" Type="http://schemas.openxmlformats.org/officeDocument/2006/relationships/image" Target="media/image599.png"/><Relationship Id="rId620" Type="http://schemas.openxmlformats.org/officeDocument/2006/relationships/image" Target="media/image600.png"/><Relationship Id="rId621" Type="http://schemas.openxmlformats.org/officeDocument/2006/relationships/image" Target="media/image601.png"/><Relationship Id="rId622" Type="http://schemas.openxmlformats.org/officeDocument/2006/relationships/image" Target="media/image602.png"/><Relationship Id="rId623" Type="http://schemas.openxmlformats.org/officeDocument/2006/relationships/image" Target="media/image603.png"/><Relationship Id="rId624" Type="http://schemas.openxmlformats.org/officeDocument/2006/relationships/image" Target="media/image604.png"/><Relationship Id="rId625" Type="http://schemas.openxmlformats.org/officeDocument/2006/relationships/image" Target="media/image605.png"/><Relationship Id="rId626" Type="http://schemas.openxmlformats.org/officeDocument/2006/relationships/image" Target="media/image606.png"/><Relationship Id="rId627" Type="http://schemas.openxmlformats.org/officeDocument/2006/relationships/image" Target="media/image607.png"/><Relationship Id="rId628" Type="http://schemas.openxmlformats.org/officeDocument/2006/relationships/image" Target="media/image608.png"/><Relationship Id="rId629" Type="http://schemas.openxmlformats.org/officeDocument/2006/relationships/image" Target="media/image609.png"/><Relationship Id="rId630" Type="http://schemas.openxmlformats.org/officeDocument/2006/relationships/image" Target="media/image610.png"/><Relationship Id="rId631" Type="http://schemas.openxmlformats.org/officeDocument/2006/relationships/image" Target="media/image611.png"/><Relationship Id="rId632" Type="http://schemas.openxmlformats.org/officeDocument/2006/relationships/image" Target="media/image612.png"/><Relationship Id="rId633" Type="http://schemas.openxmlformats.org/officeDocument/2006/relationships/image" Target="media/image613.png"/><Relationship Id="rId634" Type="http://schemas.openxmlformats.org/officeDocument/2006/relationships/image" Target="media/image614.png"/><Relationship Id="rId635" Type="http://schemas.openxmlformats.org/officeDocument/2006/relationships/image" Target="media/image615.png"/><Relationship Id="rId636" Type="http://schemas.openxmlformats.org/officeDocument/2006/relationships/image" Target="media/image616.png"/><Relationship Id="rId637" Type="http://schemas.openxmlformats.org/officeDocument/2006/relationships/image" Target="media/image617.png"/><Relationship Id="rId638" Type="http://schemas.openxmlformats.org/officeDocument/2006/relationships/image" Target="media/image618.png"/><Relationship Id="rId639" Type="http://schemas.openxmlformats.org/officeDocument/2006/relationships/image" Target="media/image619.png"/><Relationship Id="rId640" Type="http://schemas.openxmlformats.org/officeDocument/2006/relationships/image" Target="media/image620.png"/><Relationship Id="rId641" Type="http://schemas.openxmlformats.org/officeDocument/2006/relationships/image" Target="media/image621.png"/><Relationship Id="rId642" Type="http://schemas.openxmlformats.org/officeDocument/2006/relationships/image" Target="media/image622.png"/><Relationship Id="rId643" Type="http://schemas.openxmlformats.org/officeDocument/2006/relationships/image" Target="media/image623.png"/><Relationship Id="rId644" Type="http://schemas.openxmlformats.org/officeDocument/2006/relationships/image" Target="media/image624.png"/><Relationship Id="rId645" Type="http://schemas.openxmlformats.org/officeDocument/2006/relationships/image" Target="media/image625.png"/><Relationship Id="rId646" Type="http://schemas.openxmlformats.org/officeDocument/2006/relationships/image" Target="media/image626.png"/><Relationship Id="rId647" Type="http://schemas.openxmlformats.org/officeDocument/2006/relationships/image" Target="media/image627.png"/><Relationship Id="rId648" Type="http://schemas.openxmlformats.org/officeDocument/2006/relationships/image" Target="media/image628.png"/><Relationship Id="rId649" Type="http://schemas.openxmlformats.org/officeDocument/2006/relationships/image" Target="media/image629.png"/><Relationship Id="rId650" Type="http://schemas.openxmlformats.org/officeDocument/2006/relationships/image" Target="media/image630.png"/><Relationship Id="rId651" Type="http://schemas.openxmlformats.org/officeDocument/2006/relationships/image" Target="media/image631.png"/><Relationship Id="rId652" Type="http://schemas.openxmlformats.org/officeDocument/2006/relationships/image" Target="media/image632.png"/><Relationship Id="rId653" Type="http://schemas.openxmlformats.org/officeDocument/2006/relationships/image" Target="media/image633.png"/><Relationship Id="rId654" Type="http://schemas.openxmlformats.org/officeDocument/2006/relationships/image" Target="media/image634.png"/><Relationship Id="rId655" Type="http://schemas.openxmlformats.org/officeDocument/2006/relationships/image" Target="media/image635.png"/><Relationship Id="rId656" Type="http://schemas.openxmlformats.org/officeDocument/2006/relationships/image" Target="media/image636.png"/><Relationship Id="rId657" Type="http://schemas.openxmlformats.org/officeDocument/2006/relationships/image" Target="media/image637.png"/><Relationship Id="rId658" Type="http://schemas.openxmlformats.org/officeDocument/2006/relationships/image" Target="media/image638.png"/><Relationship Id="rId659" Type="http://schemas.openxmlformats.org/officeDocument/2006/relationships/image" Target="media/image639.png"/><Relationship Id="rId660" Type="http://schemas.openxmlformats.org/officeDocument/2006/relationships/image" Target="media/image640.png"/><Relationship Id="rId661" Type="http://schemas.openxmlformats.org/officeDocument/2006/relationships/image" Target="media/image641.png"/><Relationship Id="rId662" Type="http://schemas.openxmlformats.org/officeDocument/2006/relationships/image" Target="media/image642.png"/><Relationship Id="rId663" Type="http://schemas.openxmlformats.org/officeDocument/2006/relationships/image" Target="media/image643.png"/><Relationship Id="rId664" Type="http://schemas.openxmlformats.org/officeDocument/2006/relationships/image" Target="media/image644.png"/><Relationship Id="rId665" Type="http://schemas.openxmlformats.org/officeDocument/2006/relationships/image" Target="media/image645.png"/><Relationship Id="rId666" Type="http://schemas.openxmlformats.org/officeDocument/2006/relationships/image" Target="media/image646.png"/><Relationship Id="rId667" Type="http://schemas.openxmlformats.org/officeDocument/2006/relationships/image" Target="media/image647.png"/><Relationship Id="rId668" Type="http://schemas.openxmlformats.org/officeDocument/2006/relationships/image" Target="media/image648.png"/><Relationship Id="rId669" Type="http://schemas.openxmlformats.org/officeDocument/2006/relationships/image" Target="media/image649.png"/><Relationship Id="rId670" Type="http://schemas.openxmlformats.org/officeDocument/2006/relationships/image" Target="media/image650.png"/><Relationship Id="rId671" Type="http://schemas.openxmlformats.org/officeDocument/2006/relationships/image" Target="media/image651.png"/><Relationship Id="rId672" Type="http://schemas.openxmlformats.org/officeDocument/2006/relationships/image" Target="media/image652.png"/><Relationship Id="rId673" Type="http://schemas.openxmlformats.org/officeDocument/2006/relationships/image" Target="media/image653.png"/><Relationship Id="rId674" Type="http://schemas.openxmlformats.org/officeDocument/2006/relationships/image" Target="media/image654.png"/><Relationship Id="rId675" Type="http://schemas.openxmlformats.org/officeDocument/2006/relationships/image" Target="media/image655.png"/><Relationship Id="rId676" Type="http://schemas.openxmlformats.org/officeDocument/2006/relationships/image" Target="media/image656.png"/><Relationship Id="rId677" Type="http://schemas.openxmlformats.org/officeDocument/2006/relationships/image" Target="media/image657.png"/><Relationship Id="rId678" Type="http://schemas.openxmlformats.org/officeDocument/2006/relationships/image" Target="media/image658.png"/><Relationship Id="rId679" Type="http://schemas.openxmlformats.org/officeDocument/2006/relationships/image" Target="media/image659.png"/><Relationship Id="rId680" Type="http://schemas.openxmlformats.org/officeDocument/2006/relationships/image" Target="media/image660.png"/><Relationship Id="rId681" Type="http://schemas.openxmlformats.org/officeDocument/2006/relationships/image" Target="media/image661.png"/><Relationship Id="rId682" Type="http://schemas.openxmlformats.org/officeDocument/2006/relationships/image" Target="media/image662.png"/><Relationship Id="rId683" Type="http://schemas.openxmlformats.org/officeDocument/2006/relationships/image" Target="media/image663.png"/><Relationship Id="rId684" Type="http://schemas.openxmlformats.org/officeDocument/2006/relationships/image" Target="media/image664.png"/><Relationship Id="rId685" Type="http://schemas.openxmlformats.org/officeDocument/2006/relationships/image" Target="media/image665.png"/><Relationship Id="rId686" Type="http://schemas.openxmlformats.org/officeDocument/2006/relationships/image" Target="media/image666.png"/><Relationship Id="rId687" Type="http://schemas.openxmlformats.org/officeDocument/2006/relationships/image" Target="media/image667.png"/><Relationship Id="rId688" Type="http://schemas.openxmlformats.org/officeDocument/2006/relationships/image" Target="media/image668.png"/><Relationship Id="rId689" Type="http://schemas.openxmlformats.org/officeDocument/2006/relationships/image" Target="media/image669.png"/><Relationship Id="rId690" Type="http://schemas.openxmlformats.org/officeDocument/2006/relationships/image" Target="media/image670.png"/><Relationship Id="rId691" Type="http://schemas.openxmlformats.org/officeDocument/2006/relationships/image" Target="media/image671.png"/><Relationship Id="rId692" Type="http://schemas.openxmlformats.org/officeDocument/2006/relationships/image" Target="media/image672.png"/><Relationship Id="rId693" Type="http://schemas.openxmlformats.org/officeDocument/2006/relationships/image" Target="media/image673.png"/><Relationship Id="rId694" Type="http://schemas.openxmlformats.org/officeDocument/2006/relationships/image" Target="media/image674.png"/><Relationship Id="rId695" Type="http://schemas.openxmlformats.org/officeDocument/2006/relationships/image" Target="media/image675.png"/><Relationship Id="rId696" Type="http://schemas.openxmlformats.org/officeDocument/2006/relationships/image" Target="media/image676.png"/><Relationship Id="rId254" Type="http://schemas.openxmlformats.org/officeDocument/2006/relationships/hyperlink" Target="https://www.sec.gov/Archives/edgar/data/1737450/000157104918000397/tv497809_ex3-2.htm" TargetMode="External"/><Relationship Id="rId255" Type="http://schemas.openxmlformats.org/officeDocument/2006/relationships/hyperlink" Target="https://www.sec.gov/Archives/edgar/data/1745849/000101915524000333/opera424.htm" TargetMode="External"/><Relationship Id="rId256" Type="http://schemas.openxmlformats.org/officeDocument/2006/relationships/hyperlink" Target="https://www.sec.gov/Archives/edgar/data/1737450/000114420418036749/tv496863_ex4-2.htm" TargetMode="External"/><Relationship Id="rId257" Type="http://schemas.openxmlformats.org/officeDocument/2006/relationships/hyperlink" Target="https://www.sec.gov/Archives/edgar/data/1737450/000114420418040034/tv499078_ex4-3.htm" TargetMode="External"/><Relationship Id="rId258" Type="http://schemas.openxmlformats.org/officeDocument/2006/relationships/hyperlink" Target="https://www.sec.gov/Archives/edgar/data/1737450/000143774921014514/ex_248775.htm" TargetMode="External"/><Relationship Id="rId259" Type="http://schemas.openxmlformats.org/officeDocument/2006/relationships/hyperlink" Target="https://www.sec.gov/Archives/edgar/data/1737450/000119312525315024/opra-ex10_1.htm" TargetMode="External"/><Relationship Id="rId260" Type="http://schemas.openxmlformats.org/officeDocument/2006/relationships/hyperlink" Target="https://www.sec.gov/Archives/edgar/data/1737450/000114420418036749/tv496863_ex10-2.htm" TargetMode="External"/><Relationship Id="rId261" Type="http://schemas.openxmlformats.org/officeDocument/2006/relationships/hyperlink" Target="https://www.sec.gov/Archives/edgar/data/1737450/000157104918000397/tv497809_ex10-3.htm" TargetMode="External"/><Relationship Id="rId262" Type="http://schemas.openxmlformats.org/officeDocument/2006/relationships/hyperlink" Target="https://www.sec.gov/Archives/edgar/data/1737450/000157104918000397/tv497809_ex10-11.htm" TargetMode="External"/><Relationship Id="rId263" Type="http://schemas.openxmlformats.org/officeDocument/2006/relationships/hyperlink" Target="https://www.sec.gov/Archives/edgar/data/1737450/000143774922009745/ex_359223.htm" TargetMode="External"/><Relationship Id="rId264" Type="http://schemas.openxmlformats.org/officeDocument/2006/relationships/hyperlink" Target="https://www.sec.gov/Archives/edgar/data/1737450/000143774924012913/ex_653716.htm" TargetMode="External"/><Relationship Id="rId265" Type="http://schemas.openxmlformats.org/officeDocument/2006/relationships/hyperlink" Target="https://www.sec.gov/Archives/edgar/data/1737450/000095017025052668/opra-ex11_2.htm" TargetMode="External"/><Relationship Id="rId269" Type="http://schemas.openxmlformats.org/officeDocument/2006/relationships/hyperlink" Target="https://www.sec.gov/Archives/edgar/data/1737450/000143774924012913/ex_6537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2026-03-27T07:00:10Z</dcterms:created>
  <dcterms:modified xsi:type="dcterms:W3CDTF">2026-03-27T07:00:10Z</dcterms:modified>
</cp:coreProperties>
</file>