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Zhou Yahui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OPERA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4214 NYDALEN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Opera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93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OSLO</w:t>
            </w:r>
          </w:p>
        </w:tc>
        <w:tc>
          <w:tcPr>
            <w:tcW w:w="12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Q8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0401</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9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0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4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 par value $0.0002 per</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06/26/2026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665,995</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16.01</w:t>
            </w: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53,681,464</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(3)</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6,734,110</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5"/>
          </w:tcPr>
          <w:p>
            <w:pPr>
              <w:jc w:val="center"/>
              <w:ind w:left="2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80" w:type="dxa"/>
            <w:vAlign w:val="bottom"/>
            <w:gridSpan w:val="10"/>
          </w:tcPr>
          <w:p>
            <w:pPr>
              <w:jc w:val="center"/>
              <w:ind w:left="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Ordinary Shares by Hong Kong Kunlun Tech Holding Limited to the Issuer pursuant to a Stock Purchase Agreement dated March 24, 2026. This transaction constitutes a tranche of shares to be sold to the Issuer in connection with the Issuer's $300 million share repurchase program announced on February 26, 2026. Under the terms of the agreement, Hong Kong Kunlun Tech Holding Limited will continue to sell Ordinary Shares to the Issuer on a pro rata basis corresponding to the Issuer's open-market repurchases of American Depositary Shares ("ADSs") to maintain Hong Kong Kunlun Tech Holding Limited's ownership percentage.</w:t>
      </w:r>
    </w:p>
    <w:p>
      <w:pPr>
        <w:spacing w:after="0" w:line="24"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Hong Kong Kunlun Tech Holding Limited, a subsidiary of Kunlun Tech Co., Ltd. ("Kunlun"). Mr. Zhou holds 11.6% of Kunlun directly and 15.1% indirectly through Beijing Yingrui Century Software R&amp;D Center L.P. ("Beijing Yingrui"). As the general partner of Beijing Yingrui with a 54.8% interest, Mr. Zhou has sole voting and dispositive power over the Kunlun shares held by Xinyu Yingrui. By virtue of these relationships, Mr. Zhou is the controlling shareholder of Kunlun and may be deemed to beneficially own the securities held by Hong Kong Kunlun Tech Holding Limited. Mr. Zhou disclaims beneficial ownership of these securities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one Ordinary Share of the Issuer.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56" w:lineRule="auto"/>
        <w:rPr>
          <w:sz w:val="20"/>
          <w:szCs w:val="20"/>
          <w:color w:val="auto"/>
        </w:rPr>
      </w:pPr>
      <w:r>
        <w:rPr>
          <w:rFonts w:ascii="Times New Roman" w:cs="Times New Roman" w:eastAsia="Times New Roman" w:hAnsi="Times New Roman"/>
          <w:sz w:val="13"/>
          <w:szCs w:val="13"/>
          <w:color w:val="008000"/>
        </w:rPr>
        <w:t>The Issuer is a foreign private issuer as defined under Rule 3b-4 under the Securities Exchange Act of 1934, as amended (the "Exchange Act"). In accordance with Rule 3a12-3(b) under the Exchange Act, the Reporting Person is exempt from the short-swing profit recovery provisions of Section 16(b) of the Exchange Act.</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Aaron McParlan, attorney-  </w:t>
      </w:r>
      <w:r>
        <w:rPr>
          <w:rFonts w:ascii="Times New Roman" w:cs="Times New Roman" w:eastAsia="Times New Roman" w:hAnsi="Times New Roman"/>
          <w:sz w:val="33"/>
          <w:szCs w:val="33"/>
          <w:color w:val="0000FF"/>
          <w:vertAlign w:val="subscript"/>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Yahui Zhou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8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80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8074" TargetMode="External"/><Relationship Id="rId14" Type="http://schemas.openxmlformats.org/officeDocument/2006/relationships/hyperlink" Target="http://www.sec.gov/cgi-bin/browse-edgar?action=getcompany&amp;CIK=0001737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2026-06-30T06:31:00Z</dcterms:created>
  <dcterms:modified xsi:type="dcterms:W3CDTF">2026-06-30T06:31:00Z</dcterms:modified>
</cp:coreProperties>
</file>